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0D2D9" w14:textId="27D5B70F" w:rsidR="00C452B1" w:rsidRDefault="00C452B1" w:rsidP="001F58FA">
      <w:pPr>
        <w:rPr>
          <w:rStyle w:val="Textoennegrita"/>
          <w:rFonts w:ascii="Arial" w:hAnsi="Arial" w:cs="Arial"/>
          <w:b w:val="0"/>
          <w:bCs w:val="0"/>
          <w:sz w:val="24"/>
          <w:szCs w:val="24"/>
        </w:rPr>
      </w:pPr>
    </w:p>
    <w:p w14:paraId="69B96EFB" w14:textId="21100C2C" w:rsidR="001F58FA" w:rsidRPr="001F58FA" w:rsidRDefault="001F58FA" w:rsidP="00F91036">
      <w:pPr>
        <w:jc w:val="center"/>
        <w:rPr>
          <w:rFonts w:ascii="Arial" w:hAnsi="Arial" w:cs="Arial"/>
          <w:sz w:val="24"/>
          <w:szCs w:val="24"/>
        </w:rPr>
      </w:pPr>
      <w:r w:rsidRPr="001F58FA">
        <w:rPr>
          <w:rStyle w:val="Textoennegrita"/>
          <w:rFonts w:ascii="Arial" w:hAnsi="Arial" w:cs="Arial"/>
          <w:b w:val="0"/>
          <w:bCs w:val="0"/>
          <w:sz w:val="24"/>
          <w:szCs w:val="24"/>
        </w:rPr>
        <w:t>EXPOSICIÓN DE MOTIVOS</w:t>
      </w:r>
    </w:p>
    <w:p w14:paraId="09E37245" w14:textId="77777777" w:rsidR="001F58FA" w:rsidRPr="001F58FA" w:rsidRDefault="001F58FA" w:rsidP="00F91036">
      <w:pPr>
        <w:jc w:val="center"/>
        <w:rPr>
          <w:rFonts w:ascii="Arial" w:hAnsi="Arial" w:cs="Arial"/>
          <w:sz w:val="24"/>
          <w:szCs w:val="24"/>
        </w:rPr>
      </w:pPr>
      <w:r w:rsidRPr="001F58FA">
        <w:rPr>
          <w:rFonts w:ascii="Arial" w:hAnsi="Arial" w:cs="Arial"/>
          <w:sz w:val="24"/>
          <w:szCs w:val="24"/>
        </w:rPr>
        <w:t>PROYECTO DE ACUERDO No. ___ DE 2026</w:t>
      </w:r>
    </w:p>
    <w:p w14:paraId="73E806EA" w14:textId="37DABDA9" w:rsidR="001A4662" w:rsidRPr="001F58FA" w:rsidRDefault="001A4662" w:rsidP="001A4662">
      <w:pPr>
        <w:jc w:val="center"/>
        <w:rPr>
          <w:rFonts w:ascii="Arial" w:hAnsi="Arial" w:cs="Arial"/>
          <w:b/>
          <w:bCs/>
          <w:sz w:val="24"/>
          <w:szCs w:val="24"/>
          <w:lang w:eastAsia="es-CO"/>
        </w:rPr>
      </w:pPr>
      <w:r w:rsidRPr="001F58FA">
        <w:rPr>
          <w:rFonts w:ascii="Arial" w:hAnsi="Arial" w:cs="Arial"/>
          <w:b/>
          <w:bCs/>
          <w:sz w:val="24"/>
          <w:szCs w:val="24"/>
          <w:lang w:eastAsia="es-CO"/>
        </w:rPr>
        <w:t xml:space="preserve">“POR MEDIO DEL CUAL SE </w:t>
      </w:r>
      <w:r>
        <w:rPr>
          <w:rFonts w:ascii="Arial" w:hAnsi="Arial" w:cs="Arial"/>
          <w:b/>
          <w:bCs/>
          <w:sz w:val="24"/>
          <w:szCs w:val="24"/>
          <w:lang w:eastAsia="es-CO"/>
        </w:rPr>
        <w:t>FACULTA AL ALCALDE DEL MUNICIPIO DE DIBULLA, LA GUAJIRA PARA REALIZAR CESIÓN A TÍTULO GRATUITO DE LOS BIENES FISCALES, PARA LA IMPLEMENTACIÓN, DESARROLLO Y APLICACIÓN DE LOS PROGRAMAS DE FORMALIZACIÓN, TITULACIÓN Y LEGALIZACIÓN DE</w:t>
      </w:r>
      <w:r w:rsidRPr="001F58FA">
        <w:rPr>
          <w:rFonts w:ascii="Arial" w:hAnsi="Arial" w:cs="Arial"/>
          <w:b/>
          <w:bCs/>
          <w:sz w:val="24"/>
          <w:szCs w:val="24"/>
          <w:lang w:eastAsia="es-CO"/>
        </w:rPr>
        <w:t xml:space="preserve"> PREDIOS </w:t>
      </w:r>
      <w:r>
        <w:rPr>
          <w:rFonts w:ascii="Arial" w:hAnsi="Arial" w:cs="Arial"/>
          <w:b/>
          <w:bCs/>
          <w:sz w:val="24"/>
          <w:szCs w:val="24"/>
          <w:lang w:eastAsia="es-CO"/>
        </w:rPr>
        <w:t xml:space="preserve">DE QUE TRATAN EL ARTÍCULO 277 DE LA LEY 1955 DE 2019 Y EL DECRETO 149 DE 2020, </w:t>
      </w:r>
      <w:r w:rsidRPr="001F58FA">
        <w:rPr>
          <w:rFonts w:ascii="Arial" w:hAnsi="Arial" w:cs="Arial"/>
          <w:b/>
          <w:bCs/>
          <w:sz w:val="24"/>
          <w:szCs w:val="24"/>
          <w:lang w:eastAsia="es-CO"/>
        </w:rPr>
        <w:t>EN EL MUNICIPIO DE DIBULLA – LA GUAJIRA Y SE DICTAN OTRAS DISPOSICIONES”</w:t>
      </w:r>
    </w:p>
    <w:p w14:paraId="1D9D88EF" w14:textId="2C93AE01" w:rsidR="001F58FA" w:rsidRPr="001F58FA" w:rsidRDefault="001F58FA" w:rsidP="001F58FA">
      <w:pPr>
        <w:rPr>
          <w:rFonts w:ascii="Arial" w:hAnsi="Arial" w:cs="Arial"/>
          <w:sz w:val="24"/>
          <w:szCs w:val="24"/>
        </w:rPr>
      </w:pPr>
    </w:p>
    <w:p w14:paraId="379B7E4C" w14:textId="77777777" w:rsidR="001F58FA" w:rsidRPr="001F58FA" w:rsidRDefault="001F58FA" w:rsidP="001F58FA">
      <w:pPr>
        <w:rPr>
          <w:rFonts w:ascii="Arial" w:hAnsi="Arial" w:cs="Arial"/>
          <w:sz w:val="24"/>
          <w:szCs w:val="24"/>
        </w:rPr>
      </w:pPr>
      <w:r w:rsidRPr="001F58FA">
        <w:rPr>
          <w:rFonts w:ascii="Arial" w:hAnsi="Arial" w:cs="Arial"/>
          <w:sz w:val="24"/>
          <w:szCs w:val="24"/>
        </w:rPr>
        <w:t xml:space="preserve">Honorables </w:t>
      </w:r>
      <w:proofErr w:type="gramStart"/>
      <w:r w:rsidRPr="001F58FA">
        <w:rPr>
          <w:rFonts w:ascii="Arial" w:hAnsi="Arial" w:cs="Arial"/>
          <w:sz w:val="24"/>
          <w:szCs w:val="24"/>
        </w:rPr>
        <w:t>Concejales</w:t>
      </w:r>
      <w:proofErr w:type="gramEnd"/>
      <w:r w:rsidRPr="001F58FA">
        <w:rPr>
          <w:rFonts w:ascii="Arial" w:hAnsi="Arial" w:cs="Arial"/>
          <w:sz w:val="24"/>
          <w:szCs w:val="24"/>
        </w:rPr>
        <w:t>:</w:t>
      </w:r>
    </w:p>
    <w:p w14:paraId="02B468DA" w14:textId="09CC94FE" w:rsidR="001F58FA" w:rsidRDefault="001F58FA" w:rsidP="00492E55">
      <w:pPr>
        <w:jc w:val="both"/>
        <w:rPr>
          <w:rFonts w:ascii="Arial" w:hAnsi="Arial" w:cs="Arial"/>
          <w:sz w:val="24"/>
          <w:szCs w:val="24"/>
          <w:lang w:eastAsia="es-CO"/>
        </w:rPr>
      </w:pPr>
      <w:r w:rsidRPr="001F58FA">
        <w:rPr>
          <w:rFonts w:ascii="Arial" w:hAnsi="Arial" w:cs="Arial"/>
          <w:sz w:val="24"/>
          <w:szCs w:val="24"/>
        </w:rPr>
        <w:t xml:space="preserve">En cumplimiento de las funciones constitucionales y legales asignadas a las entidades territoriales, se presenta a consideración del Honorable Concejo Municipal de Dibulla el presente Proyecto de Acuerdo, mediante el cual se propone </w:t>
      </w:r>
      <w:r w:rsidR="00492E55" w:rsidRPr="00492E55">
        <w:rPr>
          <w:rFonts w:ascii="Arial" w:hAnsi="Arial" w:cs="Arial"/>
          <w:sz w:val="24"/>
          <w:szCs w:val="24"/>
          <w:lang w:eastAsia="es-CO"/>
        </w:rPr>
        <w:t xml:space="preserve">realizar cesión a título gratuito de los bienes fiscales, para la implementación, desarrollo y aplicación de los programas de formalización, titulación y legalización de predios de que tratan el artículo 277 de la ley 1955 de 2019 y el decreto 149 de 2020, en el </w:t>
      </w:r>
      <w:r w:rsidR="00492E55">
        <w:rPr>
          <w:rFonts w:ascii="Arial" w:hAnsi="Arial" w:cs="Arial"/>
          <w:sz w:val="24"/>
          <w:szCs w:val="24"/>
          <w:lang w:eastAsia="es-CO"/>
        </w:rPr>
        <w:t>M</w:t>
      </w:r>
      <w:r w:rsidR="00492E55" w:rsidRPr="00492E55">
        <w:rPr>
          <w:rFonts w:ascii="Arial" w:hAnsi="Arial" w:cs="Arial"/>
          <w:sz w:val="24"/>
          <w:szCs w:val="24"/>
          <w:lang w:eastAsia="es-CO"/>
        </w:rPr>
        <w:t xml:space="preserve">unicipio de </w:t>
      </w:r>
      <w:r w:rsidR="00492E55">
        <w:rPr>
          <w:rFonts w:ascii="Arial" w:hAnsi="Arial" w:cs="Arial"/>
          <w:sz w:val="24"/>
          <w:szCs w:val="24"/>
          <w:lang w:eastAsia="es-CO"/>
        </w:rPr>
        <w:t>D</w:t>
      </w:r>
      <w:r w:rsidR="00492E55" w:rsidRPr="00492E55">
        <w:rPr>
          <w:rFonts w:ascii="Arial" w:hAnsi="Arial" w:cs="Arial"/>
          <w:sz w:val="24"/>
          <w:szCs w:val="24"/>
          <w:lang w:eastAsia="es-CO"/>
        </w:rPr>
        <w:t xml:space="preserve">ibulla – </w:t>
      </w:r>
      <w:r w:rsidR="00492E55">
        <w:rPr>
          <w:rFonts w:ascii="Arial" w:hAnsi="Arial" w:cs="Arial"/>
          <w:sz w:val="24"/>
          <w:szCs w:val="24"/>
          <w:lang w:eastAsia="es-CO"/>
        </w:rPr>
        <w:t>L</w:t>
      </w:r>
      <w:r w:rsidR="00492E55" w:rsidRPr="00492E55">
        <w:rPr>
          <w:rFonts w:ascii="Arial" w:hAnsi="Arial" w:cs="Arial"/>
          <w:sz w:val="24"/>
          <w:szCs w:val="24"/>
          <w:lang w:eastAsia="es-CO"/>
        </w:rPr>
        <w:t xml:space="preserve">a </w:t>
      </w:r>
      <w:r w:rsidR="00492E55">
        <w:rPr>
          <w:rFonts w:ascii="Arial" w:hAnsi="Arial" w:cs="Arial"/>
          <w:sz w:val="24"/>
          <w:szCs w:val="24"/>
          <w:lang w:eastAsia="es-CO"/>
        </w:rPr>
        <w:t>G</w:t>
      </w:r>
      <w:r w:rsidR="00492E55" w:rsidRPr="00492E55">
        <w:rPr>
          <w:rFonts w:ascii="Arial" w:hAnsi="Arial" w:cs="Arial"/>
          <w:sz w:val="24"/>
          <w:szCs w:val="24"/>
          <w:lang w:eastAsia="es-CO"/>
        </w:rPr>
        <w:t>uajira y se dictan otras disposiciones</w:t>
      </w:r>
      <w:r w:rsidR="00492E55">
        <w:rPr>
          <w:rFonts w:ascii="Arial" w:hAnsi="Arial" w:cs="Arial"/>
          <w:sz w:val="24"/>
          <w:szCs w:val="24"/>
          <w:lang w:eastAsia="es-CO"/>
        </w:rPr>
        <w:t>.</w:t>
      </w:r>
    </w:p>
    <w:p w14:paraId="1C584949" w14:textId="58D35F1A" w:rsidR="009064A0" w:rsidRPr="001100E3" w:rsidRDefault="001100E3" w:rsidP="001100E3">
      <w:pPr>
        <w:jc w:val="both"/>
        <w:rPr>
          <w:rFonts w:ascii="Arial" w:hAnsi="Arial" w:cs="Arial"/>
          <w:sz w:val="24"/>
          <w:szCs w:val="24"/>
        </w:rPr>
      </w:pPr>
      <w:r w:rsidRPr="001100E3">
        <w:rPr>
          <w:rFonts w:ascii="Arial" w:hAnsi="Arial" w:cs="Arial"/>
          <w:sz w:val="24"/>
          <w:szCs w:val="24"/>
        </w:rPr>
        <w:t>E</w:t>
      </w:r>
      <w:r w:rsidR="009064A0" w:rsidRPr="001100E3">
        <w:rPr>
          <w:rFonts w:ascii="Arial" w:hAnsi="Arial" w:cs="Arial"/>
          <w:sz w:val="24"/>
          <w:szCs w:val="24"/>
        </w:rPr>
        <w:t xml:space="preserve">l presente Proyecto de Acuerdo tiene como propósito fundamental brindar al </w:t>
      </w:r>
      <w:proofErr w:type="gramStart"/>
      <w:r w:rsidR="009064A0" w:rsidRPr="001100E3">
        <w:rPr>
          <w:rFonts w:ascii="Arial" w:hAnsi="Arial" w:cs="Arial"/>
          <w:sz w:val="24"/>
          <w:szCs w:val="24"/>
        </w:rPr>
        <w:t>Alcalde</w:t>
      </w:r>
      <w:proofErr w:type="gramEnd"/>
      <w:r w:rsidR="009064A0" w:rsidRPr="001100E3">
        <w:rPr>
          <w:rFonts w:ascii="Arial" w:hAnsi="Arial" w:cs="Arial"/>
          <w:sz w:val="24"/>
          <w:szCs w:val="24"/>
        </w:rPr>
        <w:t xml:space="preserve"> Municipal las facultades necesarias para transferir, de forma gratuita, la propiedad de bienes fiscales (predios urbanos) a familias de escasos recursos que los han ocupado de manera ininterrumpida.</w:t>
      </w:r>
    </w:p>
    <w:p w14:paraId="02003C7B" w14:textId="77777777" w:rsidR="009064A0" w:rsidRPr="001100E3" w:rsidRDefault="009064A0" w:rsidP="001100E3">
      <w:pPr>
        <w:jc w:val="both"/>
        <w:rPr>
          <w:rFonts w:ascii="Arial" w:hAnsi="Arial" w:cs="Arial"/>
          <w:sz w:val="24"/>
          <w:szCs w:val="24"/>
        </w:rPr>
      </w:pPr>
      <w:r w:rsidRPr="001100E3">
        <w:rPr>
          <w:rFonts w:ascii="Arial" w:hAnsi="Arial" w:cs="Arial"/>
          <w:sz w:val="24"/>
          <w:szCs w:val="24"/>
        </w:rPr>
        <w:t xml:space="preserve">El objetivo es cerrar la brecha de informalidad predial en el municipio de Dibulla, permitiendo que los ciudadanos pasen de ser poseedores a </w:t>
      </w:r>
      <w:r w:rsidRPr="001100E3">
        <w:rPr>
          <w:rFonts w:ascii="Arial" w:hAnsi="Arial" w:cs="Arial"/>
          <w:b/>
          <w:bCs/>
          <w:sz w:val="24"/>
          <w:szCs w:val="24"/>
        </w:rPr>
        <w:t>propietarios legítimos</w:t>
      </w:r>
      <w:r w:rsidRPr="001100E3">
        <w:rPr>
          <w:rFonts w:ascii="Arial" w:hAnsi="Arial" w:cs="Arial"/>
          <w:sz w:val="24"/>
          <w:szCs w:val="24"/>
        </w:rPr>
        <w:t>, garantizando el derecho constitucional a una vivienda digna.</w:t>
      </w:r>
    </w:p>
    <w:p w14:paraId="06472593" w14:textId="331D824D" w:rsidR="000232D0" w:rsidRDefault="00A473CB" w:rsidP="000232D0">
      <w:pPr>
        <w:jc w:val="both"/>
        <w:rPr>
          <w:rFonts w:ascii="Arial" w:hAnsi="Arial" w:cs="Arial"/>
          <w:sz w:val="24"/>
          <w:szCs w:val="24"/>
        </w:rPr>
      </w:pPr>
      <w:r>
        <w:rPr>
          <w:rFonts w:ascii="Arial" w:hAnsi="Arial" w:cs="Arial"/>
          <w:sz w:val="24"/>
          <w:szCs w:val="24"/>
        </w:rPr>
        <w:t xml:space="preserve">Que surge la necesidad de generar programas y proyectos encaminados a </w:t>
      </w:r>
      <w:r w:rsidR="001E2064">
        <w:rPr>
          <w:rFonts w:ascii="Arial" w:hAnsi="Arial" w:cs="Arial"/>
          <w:sz w:val="24"/>
          <w:szCs w:val="24"/>
        </w:rPr>
        <w:t>solucionar los problemas de informalidad en la tenencia de la tierra que permitan que los hogares ocupantes de dicho terrenos logren la consolidación de su patrimonio, mediante la obtención de título de propiedad, situación que les posibilita el acceso al mercado financiero e inmobiliario, otorgándoles la oportunidad de percibir recursos que les permitan mejorar su calidad de vida a través de la banca privada o mediante la asignación de subsidios estatales de mejoramiento de vivienda.</w:t>
      </w:r>
    </w:p>
    <w:p w14:paraId="0E1C828B" w14:textId="42ED5EE0" w:rsidR="001E2064" w:rsidRDefault="001E2064" w:rsidP="000232D0">
      <w:pPr>
        <w:jc w:val="both"/>
        <w:rPr>
          <w:rFonts w:ascii="Arial" w:hAnsi="Arial" w:cs="Arial"/>
          <w:sz w:val="24"/>
          <w:szCs w:val="24"/>
        </w:rPr>
      </w:pPr>
      <w:r>
        <w:rPr>
          <w:rFonts w:ascii="Arial" w:hAnsi="Arial" w:cs="Arial"/>
          <w:sz w:val="24"/>
          <w:szCs w:val="24"/>
        </w:rPr>
        <w:t xml:space="preserve">El proceso de titulación consolida visiblemente los siguientes logros: soluciona el déficit habitacional, sanea la propiedad fiscal, aumenta el recaudo del impuesto predial, viabiliza la inversión de recursos públicos, contribuyendo a la solución de la </w:t>
      </w:r>
      <w:r w:rsidR="001C3260">
        <w:rPr>
          <w:rFonts w:ascii="Arial" w:hAnsi="Arial" w:cs="Arial"/>
          <w:sz w:val="24"/>
          <w:szCs w:val="24"/>
        </w:rPr>
        <w:t>problemática social y de ordenamiento territorial.</w:t>
      </w:r>
    </w:p>
    <w:p w14:paraId="22BE8268" w14:textId="77777777" w:rsidR="002F2A10" w:rsidRDefault="002F2A10" w:rsidP="000232D0">
      <w:pPr>
        <w:jc w:val="both"/>
        <w:rPr>
          <w:rFonts w:ascii="Arial" w:hAnsi="Arial" w:cs="Arial"/>
          <w:sz w:val="24"/>
          <w:szCs w:val="24"/>
        </w:rPr>
      </w:pPr>
    </w:p>
    <w:p w14:paraId="275D9051" w14:textId="4160342D" w:rsidR="001C3260" w:rsidRPr="002F2A10" w:rsidRDefault="001C3260" w:rsidP="000232D0">
      <w:pPr>
        <w:jc w:val="both"/>
        <w:rPr>
          <w:rFonts w:ascii="Arial" w:hAnsi="Arial" w:cs="Arial"/>
          <w:b/>
          <w:bCs/>
          <w:sz w:val="24"/>
          <w:szCs w:val="24"/>
        </w:rPr>
      </w:pPr>
      <w:r w:rsidRPr="002F2A10">
        <w:rPr>
          <w:rFonts w:ascii="Arial" w:hAnsi="Arial" w:cs="Arial"/>
          <w:b/>
          <w:bCs/>
          <w:sz w:val="24"/>
          <w:szCs w:val="24"/>
        </w:rPr>
        <w:t>ANTECEDENTES</w:t>
      </w:r>
    </w:p>
    <w:p w14:paraId="64363D7D" w14:textId="23CF11D4" w:rsidR="001C3260" w:rsidRDefault="001C3260" w:rsidP="000232D0">
      <w:pPr>
        <w:jc w:val="both"/>
        <w:rPr>
          <w:rFonts w:ascii="Arial" w:hAnsi="Arial" w:cs="Arial"/>
          <w:sz w:val="24"/>
          <w:szCs w:val="24"/>
        </w:rPr>
      </w:pPr>
      <w:r>
        <w:rPr>
          <w:rFonts w:ascii="Arial" w:hAnsi="Arial" w:cs="Arial"/>
          <w:sz w:val="24"/>
          <w:szCs w:val="24"/>
        </w:rPr>
        <w:t>La Ley 9ª de 1989 estableció el siguiente procedimiento en el artículo 58:</w:t>
      </w:r>
    </w:p>
    <w:p w14:paraId="5998C370" w14:textId="73C8F238" w:rsidR="001C3260" w:rsidRDefault="001C3260" w:rsidP="001C3260">
      <w:pPr>
        <w:ind w:left="705"/>
        <w:jc w:val="both"/>
        <w:rPr>
          <w:rFonts w:ascii="Arial" w:hAnsi="Arial" w:cs="Arial"/>
          <w:i/>
          <w:iCs/>
          <w:sz w:val="20"/>
          <w:szCs w:val="20"/>
          <w:shd w:val="clear" w:color="auto" w:fill="FFFFFF"/>
        </w:rPr>
      </w:pPr>
      <w:proofErr w:type="gramStart"/>
      <w:r w:rsidRPr="001C3260">
        <w:rPr>
          <w:rFonts w:ascii="Arial" w:hAnsi="Arial" w:cs="Arial"/>
          <w:i/>
          <w:iCs/>
          <w:sz w:val="20"/>
          <w:szCs w:val="20"/>
        </w:rPr>
        <w:t>“</w:t>
      </w:r>
      <w:r w:rsidRPr="001C3260">
        <w:rPr>
          <w:rStyle w:val="Textoennegrita"/>
          <w:rFonts w:ascii="Arial" w:hAnsi="Arial" w:cs="Arial"/>
          <w:i/>
          <w:iCs/>
          <w:sz w:val="20"/>
          <w:szCs w:val="20"/>
          <w:shd w:val="clear" w:color="auto" w:fill="FFFFFF"/>
        </w:rPr>
        <w:t> </w:t>
      </w:r>
      <w:r w:rsidRPr="001C3260">
        <w:rPr>
          <w:rFonts w:ascii="Arial" w:hAnsi="Arial" w:cs="Arial"/>
          <w:i/>
          <w:iCs/>
          <w:sz w:val="20"/>
          <w:szCs w:val="20"/>
          <w:shd w:val="clear" w:color="auto" w:fill="FFFFFF"/>
        </w:rPr>
        <w:t>Las</w:t>
      </w:r>
      <w:proofErr w:type="gramEnd"/>
      <w:r w:rsidRPr="001C3260">
        <w:rPr>
          <w:rFonts w:ascii="Arial" w:hAnsi="Arial" w:cs="Arial"/>
          <w:i/>
          <w:iCs/>
          <w:sz w:val="20"/>
          <w:szCs w:val="20"/>
          <w:shd w:val="clear" w:color="auto" w:fill="FFFFFF"/>
        </w:rPr>
        <w:t xml:space="preserve"> entidades públicas del orden nacional cederán a título gratuito los inmuebles de su propiedad que sean bienes fiscales y que hayan sido ocupados ilegalmente para vivienda de interés social, siempre y cuando la ocupación ilegal haya ocurrido con anterioridad al veintiocho (28) de julio de mil novecientos ochenta y ocho (1988). La cesión gratuita, mediante escritura pública, se efectuará a favor de los ocupantes. Las demás entidades públicas podrán efectuar la cesión en los términos aquí señalados</w:t>
      </w:r>
      <w:r>
        <w:rPr>
          <w:rFonts w:ascii="Arial" w:hAnsi="Arial" w:cs="Arial"/>
          <w:i/>
          <w:iCs/>
          <w:sz w:val="20"/>
          <w:szCs w:val="20"/>
          <w:shd w:val="clear" w:color="auto" w:fill="FFFFFF"/>
        </w:rPr>
        <w:t>.</w:t>
      </w:r>
    </w:p>
    <w:p w14:paraId="26BE8075" w14:textId="7552C2F2" w:rsidR="00C65498" w:rsidRPr="001C3260" w:rsidRDefault="001C3260" w:rsidP="00C65498">
      <w:pPr>
        <w:ind w:left="705"/>
        <w:jc w:val="both"/>
        <w:rPr>
          <w:rFonts w:ascii="Arial" w:hAnsi="Arial" w:cs="Arial"/>
          <w:i/>
          <w:iCs/>
          <w:sz w:val="20"/>
          <w:szCs w:val="20"/>
          <w:shd w:val="clear" w:color="auto" w:fill="FFFFFF"/>
        </w:rPr>
      </w:pPr>
      <w:r w:rsidRPr="001C3260">
        <w:rPr>
          <w:rFonts w:ascii="Arial" w:hAnsi="Arial" w:cs="Arial"/>
          <w:i/>
          <w:iCs/>
          <w:sz w:val="20"/>
          <w:szCs w:val="20"/>
          <w:shd w:val="clear" w:color="auto" w:fill="FFFFFF"/>
        </w:rPr>
        <w:t>En ningún caso procederá la cesión anterior en el caso de los bienes de uso público ni en el de los bienes fiscales destinados a la salud y a la educación. Tampoco procederá cuando se trate de inmuebles ubicados en zonas insalubres o que presenten peligro para la población.</w:t>
      </w:r>
      <w:r>
        <w:rPr>
          <w:rFonts w:ascii="Arial" w:hAnsi="Arial" w:cs="Arial"/>
          <w:i/>
          <w:iCs/>
          <w:sz w:val="20"/>
          <w:szCs w:val="20"/>
          <w:shd w:val="clear" w:color="auto" w:fill="FFFFFF"/>
        </w:rPr>
        <w:t>”</w:t>
      </w:r>
    </w:p>
    <w:p w14:paraId="415257C6" w14:textId="77777777" w:rsidR="001C3260" w:rsidRPr="001C3260" w:rsidRDefault="001C3260" w:rsidP="000232D0">
      <w:pPr>
        <w:jc w:val="both"/>
        <w:rPr>
          <w:rFonts w:ascii="Arial" w:hAnsi="Arial" w:cs="Arial"/>
          <w:i/>
          <w:iCs/>
          <w:sz w:val="20"/>
          <w:szCs w:val="20"/>
        </w:rPr>
      </w:pPr>
    </w:p>
    <w:p w14:paraId="5DA8F1EB" w14:textId="02BD3F6F" w:rsidR="0026342B" w:rsidRDefault="00C65498" w:rsidP="000232D0">
      <w:pPr>
        <w:jc w:val="both"/>
        <w:rPr>
          <w:rFonts w:ascii="Arial" w:hAnsi="Arial" w:cs="Arial"/>
          <w:sz w:val="24"/>
          <w:szCs w:val="24"/>
        </w:rPr>
      </w:pPr>
      <w:r>
        <w:rPr>
          <w:rFonts w:ascii="Arial" w:hAnsi="Arial" w:cs="Arial"/>
          <w:sz w:val="24"/>
          <w:szCs w:val="24"/>
        </w:rPr>
        <w:lastRenderedPageBreak/>
        <w:t xml:space="preserve">Con esta figura, el legislador </w:t>
      </w:r>
      <w:r w:rsidR="0026342B">
        <w:rPr>
          <w:rFonts w:ascii="Arial" w:hAnsi="Arial" w:cs="Arial"/>
          <w:sz w:val="24"/>
          <w:szCs w:val="24"/>
        </w:rPr>
        <w:t>sentó</w:t>
      </w:r>
      <w:r>
        <w:rPr>
          <w:rFonts w:ascii="Arial" w:hAnsi="Arial" w:cs="Arial"/>
          <w:sz w:val="24"/>
          <w:szCs w:val="24"/>
        </w:rPr>
        <w:t xml:space="preserve"> las primeras bases de solución a este grave problema</w:t>
      </w:r>
      <w:r w:rsidR="0026342B">
        <w:rPr>
          <w:rFonts w:ascii="Arial" w:hAnsi="Arial" w:cs="Arial"/>
          <w:sz w:val="24"/>
          <w:szCs w:val="24"/>
        </w:rPr>
        <w:t>, considerando la Honorable Corte Constitucional a través de su examen de constitucionalidad mediante Sentencia C-251 del 6 de junio de 1996 (Magistrado Ponente: Doctor Alejandro Martínez Caballero) lo siguiente:</w:t>
      </w:r>
    </w:p>
    <w:p w14:paraId="31586725" w14:textId="1D45BF56" w:rsidR="0026342B" w:rsidRPr="0026342B" w:rsidRDefault="0026342B" w:rsidP="0026342B">
      <w:pPr>
        <w:ind w:left="708"/>
        <w:jc w:val="both"/>
        <w:rPr>
          <w:rFonts w:ascii="Arial" w:hAnsi="Arial" w:cs="Arial"/>
          <w:sz w:val="20"/>
          <w:szCs w:val="20"/>
        </w:rPr>
      </w:pPr>
      <w:r>
        <w:rPr>
          <w:rFonts w:ascii="Arial" w:hAnsi="Arial" w:cs="Arial"/>
          <w:i/>
          <w:iCs/>
          <w:sz w:val="20"/>
          <w:szCs w:val="20"/>
          <w:shd w:val="clear" w:color="auto" w:fill="FFFFFF"/>
        </w:rPr>
        <w:t>“</w:t>
      </w:r>
      <w:r w:rsidRPr="0026342B">
        <w:rPr>
          <w:rFonts w:ascii="Arial" w:hAnsi="Arial" w:cs="Arial"/>
          <w:i/>
          <w:iCs/>
          <w:sz w:val="20"/>
          <w:szCs w:val="20"/>
          <w:shd w:val="clear" w:color="auto" w:fill="FFFFFF"/>
        </w:rPr>
        <w:t xml:space="preserve">El Estado puede entonces transferir en forma gratuita el dominio de un bien estatal a un particular, siempre y cuando no se trate de una mera liberalidad del Estado sino del cumplimiento de deberes constitucionales expresos, entre los cuales está obviamente incluida la garantía de los derechos constitucionales. En efecto, la prohibición de los auxilios debe ser armonizada con el mandato del artículo 146 ordinal 4º, según el cual las Cámaras no pueden decretar en favor de particulares erogaciones "que no estén destinadas a satisfacer créditos o derechos reconocidos con arreglo a ley preexistente". Puede entonces concluirse que no están prohibidas, porque no son actos de mera liberalidad sino de justicia distributiva, aquellas transferencias que se efectúen con el propósito de satisfacer </w:t>
      </w:r>
      <w:r w:rsidR="003663C1" w:rsidRPr="0026342B">
        <w:rPr>
          <w:rFonts w:ascii="Arial" w:hAnsi="Arial" w:cs="Arial"/>
          <w:i/>
          <w:iCs/>
          <w:sz w:val="20"/>
          <w:szCs w:val="20"/>
          <w:shd w:val="clear" w:color="auto" w:fill="FFFFFF"/>
        </w:rPr>
        <w:t>derechos preexistentes</w:t>
      </w:r>
      <w:r w:rsidRPr="0026342B">
        <w:rPr>
          <w:rFonts w:ascii="Arial" w:hAnsi="Arial" w:cs="Arial"/>
          <w:i/>
          <w:iCs/>
          <w:sz w:val="20"/>
          <w:szCs w:val="20"/>
          <w:shd w:val="clear" w:color="auto" w:fill="FFFFFF"/>
        </w:rPr>
        <w:t>, como sucede con los derechos que consagra la propia Constitución, siempre y cuando esa cesión sea imperiosa para la satisfacción de ese derecho constitucional.</w:t>
      </w:r>
      <w:r>
        <w:rPr>
          <w:rFonts w:ascii="Arial" w:hAnsi="Arial" w:cs="Arial"/>
          <w:i/>
          <w:iCs/>
          <w:sz w:val="20"/>
          <w:szCs w:val="20"/>
          <w:shd w:val="clear" w:color="auto" w:fill="FFFFFF"/>
        </w:rPr>
        <w:t>”</w:t>
      </w:r>
    </w:p>
    <w:p w14:paraId="2E7943F5" w14:textId="77777777" w:rsidR="00051284" w:rsidRDefault="00051284" w:rsidP="00051284">
      <w:pPr>
        <w:jc w:val="both"/>
        <w:rPr>
          <w:rFonts w:ascii="Arial" w:hAnsi="Arial" w:cs="Arial"/>
          <w:sz w:val="24"/>
          <w:szCs w:val="24"/>
        </w:rPr>
      </w:pPr>
    </w:p>
    <w:p w14:paraId="2B18BA85" w14:textId="6EB84699" w:rsidR="00051284" w:rsidRDefault="001F6EE4" w:rsidP="00051284">
      <w:pPr>
        <w:jc w:val="both"/>
        <w:rPr>
          <w:rFonts w:ascii="Arial" w:hAnsi="Arial" w:cs="Arial"/>
          <w:sz w:val="24"/>
          <w:szCs w:val="24"/>
        </w:rPr>
      </w:pPr>
      <w:r>
        <w:rPr>
          <w:rFonts w:ascii="Arial" w:hAnsi="Arial" w:cs="Arial"/>
          <w:sz w:val="24"/>
          <w:szCs w:val="24"/>
        </w:rPr>
        <w:t>La Ley 708 de 2001, la cual</w:t>
      </w:r>
      <w:r w:rsidR="0026342B">
        <w:rPr>
          <w:rFonts w:ascii="Arial" w:hAnsi="Arial" w:cs="Arial"/>
          <w:sz w:val="24"/>
          <w:szCs w:val="24"/>
        </w:rPr>
        <w:t xml:space="preserve"> </w:t>
      </w:r>
      <w:r>
        <w:rPr>
          <w:rFonts w:ascii="Arial" w:hAnsi="Arial" w:cs="Arial"/>
          <w:sz w:val="24"/>
          <w:szCs w:val="24"/>
        </w:rPr>
        <w:t>en su artículo 14 indicaba:</w:t>
      </w:r>
    </w:p>
    <w:p w14:paraId="6581561B" w14:textId="1E5B2EA2" w:rsidR="001F6EE4" w:rsidRPr="001F6EE4" w:rsidRDefault="008C32D2" w:rsidP="00051284">
      <w:pPr>
        <w:ind w:left="708"/>
        <w:jc w:val="both"/>
        <w:rPr>
          <w:rFonts w:ascii="Arial" w:eastAsia="Times New Roman" w:hAnsi="Arial" w:cs="Arial"/>
          <w:i/>
          <w:iCs/>
          <w:sz w:val="20"/>
          <w:szCs w:val="20"/>
          <w:lang w:eastAsia="es-CO"/>
        </w:rPr>
      </w:pPr>
      <w:r>
        <w:rPr>
          <w:rFonts w:ascii="Arial" w:eastAsia="Times New Roman" w:hAnsi="Arial" w:cs="Arial"/>
          <w:i/>
          <w:iCs/>
          <w:sz w:val="20"/>
          <w:szCs w:val="20"/>
          <w:lang w:eastAsia="es-CO"/>
        </w:rPr>
        <w:t>“</w:t>
      </w:r>
      <w:r w:rsidR="001F6EE4" w:rsidRPr="001F6EE4">
        <w:rPr>
          <w:rFonts w:ascii="Arial" w:eastAsia="Times New Roman" w:hAnsi="Arial" w:cs="Arial"/>
          <w:i/>
          <w:iCs/>
          <w:sz w:val="20"/>
          <w:szCs w:val="20"/>
          <w:lang w:eastAsia="es-CO"/>
        </w:rPr>
        <w:t xml:space="preserve"> Las entidades públicas del orden nacional, que a la fecha de entrada en vigencia de la presente ley, no hayan efectuado la cesión a título gratuito de que trata el artículo 58 de la Ley 9ª de 1989, deberán transferir a título gratuito al Instituto Nacional de Vivienda de Interés Social y Reforma Urbana, </w:t>
      </w:r>
      <w:proofErr w:type="spellStart"/>
      <w:r w:rsidR="001F6EE4" w:rsidRPr="001F6EE4">
        <w:rPr>
          <w:rFonts w:ascii="Arial" w:eastAsia="Times New Roman" w:hAnsi="Arial" w:cs="Arial"/>
          <w:i/>
          <w:iCs/>
          <w:sz w:val="20"/>
          <w:szCs w:val="20"/>
          <w:lang w:eastAsia="es-CO"/>
        </w:rPr>
        <w:t>Inurbe</w:t>
      </w:r>
      <w:proofErr w:type="spellEnd"/>
      <w:r w:rsidR="001F6EE4" w:rsidRPr="001F6EE4">
        <w:rPr>
          <w:rFonts w:ascii="Arial" w:eastAsia="Times New Roman" w:hAnsi="Arial" w:cs="Arial"/>
          <w:i/>
          <w:iCs/>
          <w:sz w:val="20"/>
          <w:szCs w:val="20"/>
          <w:lang w:eastAsia="es-CO"/>
        </w:rPr>
        <w:t>, los bienes inmuebles fiscales a los que se refiere la mencionada norma, que no hayan sido objeto de cesión, en los términos y con la progresividad establecida para el efecto por el Gobierno Nacional, con el fin de que esa entidad dé cumplimiento a dicha disposición legal.</w:t>
      </w:r>
    </w:p>
    <w:p w14:paraId="2DD132A2" w14:textId="29E4E45D" w:rsidR="001F6EE4" w:rsidRPr="001F6EE4" w:rsidRDefault="001F6EE4" w:rsidP="008C32D2">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F6EE4">
        <w:rPr>
          <w:rFonts w:ascii="Arial" w:eastAsia="Times New Roman" w:hAnsi="Arial" w:cs="Arial"/>
          <w:i/>
          <w:iCs/>
          <w:sz w:val="20"/>
          <w:szCs w:val="20"/>
          <w:lang w:eastAsia="es-CO"/>
        </w:rPr>
        <w:t xml:space="preserve">La transferencia de dichos bienes al </w:t>
      </w:r>
      <w:proofErr w:type="spellStart"/>
      <w:r w:rsidRPr="001F6EE4">
        <w:rPr>
          <w:rFonts w:ascii="Arial" w:eastAsia="Times New Roman" w:hAnsi="Arial" w:cs="Arial"/>
          <w:i/>
          <w:iCs/>
          <w:sz w:val="20"/>
          <w:szCs w:val="20"/>
          <w:lang w:eastAsia="es-CO"/>
        </w:rPr>
        <w:t>Inurbe</w:t>
      </w:r>
      <w:proofErr w:type="spellEnd"/>
      <w:r w:rsidRPr="001F6EE4">
        <w:rPr>
          <w:rFonts w:ascii="Arial" w:eastAsia="Times New Roman" w:hAnsi="Arial" w:cs="Arial"/>
          <w:i/>
          <w:iCs/>
          <w:sz w:val="20"/>
          <w:szCs w:val="20"/>
          <w:lang w:eastAsia="es-CO"/>
        </w:rPr>
        <w:t xml:space="preserve"> se realizará mediante el procedimiento establecido en el artículo 1º de la presente ley. En todo caso la entidad que transfiera bienes inmuebles fiscales en virtud de lo aquí previsto, deberá sufragar todos los costos necesarios para realizar las transferencias al </w:t>
      </w:r>
      <w:proofErr w:type="spellStart"/>
      <w:r w:rsidRPr="001F6EE4">
        <w:rPr>
          <w:rFonts w:ascii="Arial" w:eastAsia="Times New Roman" w:hAnsi="Arial" w:cs="Arial"/>
          <w:i/>
          <w:iCs/>
          <w:sz w:val="20"/>
          <w:szCs w:val="20"/>
          <w:lang w:eastAsia="es-CO"/>
        </w:rPr>
        <w:t>Inurbe</w:t>
      </w:r>
      <w:proofErr w:type="spellEnd"/>
      <w:r w:rsidRPr="001F6EE4">
        <w:rPr>
          <w:rFonts w:ascii="Arial" w:eastAsia="Times New Roman" w:hAnsi="Arial" w:cs="Arial"/>
          <w:i/>
          <w:iCs/>
          <w:sz w:val="20"/>
          <w:szCs w:val="20"/>
          <w:lang w:eastAsia="es-CO"/>
        </w:rPr>
        <w:t xml:space="preserve">, y obtener el paz y salvo correspondiente a los impuestos, tasas, contribuciones y valorización que recaigan sobre el inmueble que transfieren, situación que deberá verificar el Instituto Nacional de Vivienda de Interés Social y Reforma Urbana, </w:t>
      </w:r>
      <w:proofErr w:type="spellStart"/>
      <w:r w:rsidRPr="001F6EE4">
        <w:rPr>
          <w:rFonts w:ascii="Arial" w:eastAsia="Times New Roman" w:hAnsi="Arial" w:cs="Arial"/>
          <w:i/>
          <w:iCs/>
          <w:sz w:val="20"/>
          <w:szCs w:val="20"/>
          <w:lang w:eastAsia="es-CO"/>
        </w:rPr>
        <w:t>Inurbe</w:t>
      </w:r>
      <w:proofErr w:type="spellEnd"/>
      <w:r w:rsidRPr="001F6EE4">
        <w:rPr>
          <w:rFonts w:ascii="Arial" w:eastAsia="Times New Roman" w:hAnsi="Arial" w:cs="Arial"/>
          <w:i/>
          <w:iCs/>
          <w:sz w:val="20"/>
          <w:szCs w:val="20"/>
          <w:lang w:eastAsia="es-CO"/>
        </w:rPr>
        <w:t>, antes de registrar cada resolución contentiva de título traslaticio de dominio.</w:t>
      </w:r>
      <w:r w:rsidR="008C32D2">
        <w:rPr>
          <w:rFonts w:ascii="Arial" w:eastAsia="Times New Roman" w:hAnsi="Arial" w:cs="Arial"/>
          <w:i/>
          <w:iCs/>
          <w:sz w:val="20"/>
          <w:szCs w:val="20"/>
          <w:lang w:eastAsia="es-CO"/>
        </w:rPr>
        <w:t>”</w:t>
      </w:r>
    </w:p>
    <w:p w14:paraId="123D355F" w14:textId="4FED075C" w:rsidR="001C3260" w:rsidRDefault="002C0B8C" w:rsidP="000232D0">
      <w:pPr>
        <w:jc w:val="both"/>
        <w:rPr>
          <w:rFonts w:ascii="Arial" w:hAnsi="Arial" w:cs="Arial"/>
          <w:sz w:val="24"/>
          <w:szCs w:val="24"/>
        </w:rPr>
      </w:pPr>
      <w:r>
        <w:rPr>
          <w:rFonts w:ascii="Arial" w:hAnsi="Arial" w:cs="Arial"/>
          <w:sz w:val="24"/>
          <w:szCs w:val="24"/>
        </w:rPr>
        <w:t>La Ley</w:t>
      </w:r>
      <w:r w:rsidR="00051284">
        <w:rPr>
          <w:rFonts w:ascii="Arial" w:hAnsi="Arial" w:cs="Arial"/>
          <w:sz w:val="24"/>
          <w:szCs w:val="24"/>
        </w:rPr>
        <w:t xml:space="preserve"> 1001 de 2005 en su articulo 2, modifico el articulo 14 de la Ley 708 de 2001, y </w:t>
      </w:r>
      <w:r>
        <w:rPr>
          <w:rFonts w:ascii="Arial" w:hAnsi="Arial" w:cs="Arial"/>
          <w:sz w:val="24"/>
          <w:szCs w:val="24"/>
        </w:rPr>
        <w:t>reglamentado</w:t>
      </w:r>
      <w:r w:rsidR="00051284">
        <w:rPr>
          <w:rFonts w:ascii="Arial" w:hAnsi="Arial" w:cs="Arial"/>
          <w:sz w:val="24"/>
          <w:szCs w:val="24"/>
        </w:rPr>
        <w:t xml:space="preserve"> mediante el capitulo 2.1.2.2 del Decreto 1077 de 2015, otorgando la posibilidad a las entidades del territoriales de orden Municipal, Departamental y Distrital de </w:t>
      </w:r>
      <w:r w:rsidR="00051284" w:rsidRPr="00051284">
        <w:rPr>
          <w:rFonts w:ascii="Arial" w:hAnsi="Arial" w:cs="Arial"/>
          <w:b/>
          <w:bCs/>
          <w:sz w:val="24"/>
          <w:szCs w:val="24"/>
          <w:u w:val="single"/>
        </w:rPr>
        <w:t xml:space="preserve">ceder a </w:t>
      </w:r>
      <w:r w:rsidR="00F0080E" w:rsidRPr="00051284">
        <w:rPr>
          <w:rFonts w:ascii="Arial" w:hAnsi="Arial" w:cs="Arial"/>
          <w:b/>
          <w:bCs/>
          <w:sz w:val="24"/>
          <w:szCs w:val="24"/>
          <w:u w:val="single"/>
        </w:rPr>
        <w:t>título</w:t>
      </w:r>
      <w:r w:rsidR="00051284" w:rsidRPr="00051284">
        <w:rPr>
          <w:rFonts w:ascii="Arial" w:hAnsi="Arial" w:cs="Arial"/>
          <w:b/>
          <w:bCs/>
          <w:sz w:val="24"/>
          <w:szCs w:val="24"/>
          <w:u w:val="single"/>
        </w:rPr>
        <w:t xml:space="preserve"> </w:t>
      </w:r>
      <w:r w:rsidR="00F0080E" w:rsidRPr="00051284">
        <w:rPr>
          <w:rFonts w:ascii="Arial" w:hAnsi="Arial" w:cs="Arial"/>
          <w:b/>
          <w:bCs/>
          <w:sz w:val="24"/>
          <w:szCs w:val="24"/>
          <w:u w:val="single"/>
        </w:rPr>
        <w:t>gratuitos bienes fiscales</w:t>
      </w:r>
      <w:r w:rsidR="00051284" w:rsidRPr="00051284">
        <w:rPr>
          <w:rFonts w:ascii="Arial" w:hAnsi="Arial" w:cs="Arial"/>
          <w:b/>
          <w:bCs/>
          <w:sz w:val="24"/>
          <w:szCs w:val="24"/>
          <w:u w:val="single"/>
        </w:rPr>
        <w:t xml:space="preserve"> de su propiedad</w:t>
      </w:r>
      <w:r w:rsidR="00051284">
        <w:rPr>
          <w:rFonts w:ascii="Arial" w:hAnsi="Arial" w:cs="Arial"/>
          <w:sz w:val="24"/>
          <w:szCs w:val="24"/>
        </w:rPr>
        <w:t>:</w:t>
      </w:r>
    </w:p>
    <w:p w14:paraId="2F079CDA" w14:textId="6E55E25D" w:rsidR="00F0080E" w:rsidRPr="00F0080E" w:rsidRDefault="00F0080E" w:rsidP="00F0080E">
      <w:pPr>
        <w:pStyle w:val="NormalWeb"/>
        <w:shd w:val="clear" w:color="auto" w:fill="FFFFFF"/>
        <w:ind w:left="708"/>
        <w:jc w:val="both"/>
        <w:rPr>
          <w:rFonts w:ascii="Arial" w:hAnsi="Arial" w:cs="Arial"/>
          <w:i/>
          <w:iCs/>
          <w:color w:val="333333"/>
          <w:sz w:val="20"/>
          <w:szCs w:val="20"/>
        </w:rPr>
      </w:pPr>
      <w:r w:rsidRPr="00F0080E">
        <w:rPr>
          <w:rFonts w:ascii="Arial" w:hAnsi="Arial" w:cs="Arial"/>
          <w:i/>
          <w:iCs/>
          <w:sz w:val="20"/>
          <w:szCs w:val="20"/>
        </w:rPr>
        <w:t xml:space="preserve">Artículo 2: </w:t>
      </w:r>
      <w:r w:rsidRPr="00F0080E">
        <w:rPr>
          <w:rFonts w:ascii="Arial" w:hAnsi="Arial" w:cs="Arial"/>
          <w:i/>
          <w:iCs/>
          <w:color w:val="333333"/>
          <w:sz w:val="20"/>
          <w:szCs w:val="20"/>
        </w:rPr>
        <w:t>Las entidades públicas del orden nacional cederán a título gratuito los terrenos de su propiedad que sean bienes fiscales y que hayan sido ocupados ilegalmente para vivienda de interés social, siempre y cuando la ocupación ilegal haya ocurrido con anterioridad al treinta (30) de noviembre de 2001. La cesión gratuita se efectuará mediante resolución administrativa a favor de los ocupantes, la cual constituirá título de dominio y una vez inscrita en la Oficina de Instrumentos Públicos, será plena prueba de la propiedad.</w:t>
      </w:r>
      <w:r>
        <w:rPr>
          <w:rFonts w:ascii="Arial" w:hAnsi="Arial" w:cs="Arial"/>
          <w:i/>
          <w:iCs/>
          <w:color w:val="333333"/>
          <w:sz w:val="20"/>
          <w:szCs w:val="20"/>
        </w:rPr>
        <w:t xml:space="preserve"> </w:t>
      </w:r>
      <w:r w:rsidRPr="00F0080E">
        <w:rPr>
          <w:rFonts w:ascii="Arial" w:hAnsi="Arial" w:cs="Arial"/>
          <w:i/>
          <w:iCs/>
          <w:color w:val="333333"/>
          <w:sz w:val="20"/>
          <w:szCs w:val="20"/>
        </w:rPr>
        <w:t>Las demás entidades públicas podrán efectuar la cesión en los términos aquí señalados.</w:t>
      </w:r>
      <w:r>
        <w:rPr>
          <w:rFonts w:ascii="Arial" w:hAnsi="Arial" w:cs="Arial"/>
          <w:i/>
          <w:iCs/>
          <w:color w:val="333333"/>
          <w:sz w:val="20"/>
          <w:szCs w:val="20"/>
        </w:rPr>
        <w:t xml:space="preserve"> </w:t>
      </w:r>
      <w:r w:rsidRPr="00F0080E">
        <w:rPr>
          <w:rFonts w:ascii="Arial" w:hAnsi="Arial" w:cs="Arial"/>
          <w:i/>
          <w:iCs/>
          <w:color w:val="333333"/>
          <w:sz w:val="20"/>
          <w:szCs w:val="20"/>
        </w:rPr>
        <w:t>En ningún caso procederá la cesión anterior tratándose de bienes de uso público ni de bienes fiscales destinados a la salud y a la educación. Tampoco procederá cuando se trate de inmuebles ubicados en zonas insalubres o de riesgo para la población, de conformidad con las disposiciones locales sobre la materia</w:t>
      </w:r>
      <w:r w:rsidR="00F90F8C">
        <w:rPr>
          <w:rFonts w:ascii="Arial" w:hAnsi="Arial" w:cs="Arial"/>
          <w:i/>
          <w:iCs/>
          <w:color w:val="333333"/>
          <w:sz w:val="20"/>
          <w:szCs w:val="20"/>
        </w:rPr>
        <w:t xml:space="preserve"> (</w:t>
      </w:r>
      <w:proofErr w:type="gramStart"/>
      <w:r w:rsidR="00F90F8C">
        <w:rPr>
          <w:rFonts w:ascii="Arial" w:hAnsi="Arial" w:cs="Arial"/>
          <w:i/>
          <w:iCs/>
          <w:color w:val="333333"/>
          <w:sz w:val="20"/>
          <w:szCs w:val="20"/>
        </w:rPr>
        <w:t>…….</w:t>
      </w:r>
      <w:proofErr w:type="gramEnd"/>
      <w:r w:rsidR="00F90F8C">
        <w:rPr>
          <w:rFonts w:ascii="Arial" w:hAnsi="Arial" w:cs="Arial"/>
          <w:i/>
          <w:iCs/>
          <w:color w:val="333333"/>
          <w:sz w:val="20"/>
          <w:szCs w:val="20"/>
        </w:rPr>
        <w:t>)”</w:t>
      </w:r>
    </w:p>
    <w:p w14:paraId="0C09B4BD" w14:textId="642CCA75" w:rsidR="00F0080E" w:rsidRDefault="00CE40D5" w:rsidP="000232D0">
      <w:pPr>
        <w:jc w:val="both"/>
        <w:rPr>
          <w:rFonts w:ascii="Arial" w:hAnsi="Arial" w:cs="Arial"/>
          <w:sz w:val="24"/>
          <w:szCs w:val="24"/>
        </w:rPr>
      </w:pPr>
      <w:r>
        <w:rPr>
          <w:rFonts w:ascii="Arial" w:hAnsi="Arial" w:cs="Arial"/>
          <w:sz w:val="24"/>
          <w:szCs w:val="24"/>
        </w:rPr>
        <w:t>El Plan Nacional de Desarrollo 2018-2022 Pacto</w:t>
      </w:r>
      <w:r w:rsidR="00AF6D09">
        <w:rPr>
          <w:rFonts w:ascii="Arial" w:hAnsi="Arial" w:cs="Arial"/>
          <w:sz w:val="24"/>
          <w:szCs w:val="24"/>
        </w:rPr>
        <w:t xml:space="preserve"> por Colombia, Pacto por la Equidad, incluyo en el articulo 277, una nueva modificación al articulo 14 de la Ley 708 de 2001, teniendo como principal objetivo permitir a las entidades </w:t>
      </w:r>
      <w:r w:rsidR="00682136">
        <w:rPr>
          <w:rFonts w:ascii="Arial" w:hAnsi="Arial" w:cs="Arial"/>
          <w:sz w:val="24"/>
          <w:szCs w:val="24"/>
        </w:rPr>
        <w:t>públicas</w:t>
      </w:r>
      <w:r w:rsidR="00AF6D09">
        <w:rPr>
          <w:rFonts w:ascii="Arial" w:hAnsi="Arial" w:cs="Arial"/>
          <w:sz w:val="24"/>
          <w:szCs w:val="24"/>
        </w:rPr>
        <w:t xml:space="preserve"> del orden nacional y demás entidades publicas ceder a titulo gratuito los bienes inmuebles fiscales ocupados ilegalmente parcial o totalmente con mejoras y/o construcciones de destinación económica en los siguientes términos:</w:t>
      </w:r>
    </w:p>
    <w:p w14:paraId="219D2B6B" w14:textId="77777777" w:rsidR="00800986" w:rsidRPr="001067CD" w:rsidRDefault="00800986" w:rsidP="00800986">
      <w:pPr>
        <w:ind w:left="708"/>
        <w:jc w:val="both"/>
        <w:rPr>
          <w:rFonts w:ascii="Arial" w:eastAsia="Times New Roman" w:hAnsi="Arial" w:cs="Arial"/>
          <w:i/>
          <w:iCs/>
          <w:sz w:val="20"/>
          <w:szCs w:val="20"/>
          <w:lang w:eastAsia="es-CO"/>
        </w:rPr>
      </w:pPr>
      <w:r w:rsidRPr="001067CD">
        <w:rPr>
          <w:rFonts w:ascii="Arial" w:hAnsi="Arial" w:cs="Arial"/>
          <w:i/>
          <w:iCs/>
          <w:sz w:val="20"/>
          <w:szCs w:val="20"/>
        </w:rPr>
        <w:t>“</w:t>
      </w:r>
      <w:r>
        <w:rPr>
          <w:rFonts w:ascii="Arial" w:hAnsi="Arial" w:cs="Arial"/>
          <w:i/>
          <w:iCs/>
          <w:sz w:val="20"/>
          <w:szCs w:val="20"/>
        </w:rPr>
        <w:t xml:space="preserve">Articulo 14. </w:t>
      </w:r>
      <w:r w:rsidRPr="001067CD">
        <w:rPr>
          <w:rFonts w:ascii="Arial" w:hAnsi="Arial" w:cs="Arial"/>
          <w:i/>
          <w:iCs/>
          <w:sz w:val="20"/>
          <w:szCs w:val="20"/>
        </w:rPr>
        <w:t xml:space="preserve">Las entidades públicas podrán transferir mediante cesión a título gratuito la propiedad de los bienes inmuebles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diez (10) años de anterioridad al inicio del procedimiento administrativo. La cesión gratuita se efectuará mediante resolución administrativa, la cual </w:t>
      </w:r>
      <w:r w:rsidRPr="001067CD">
        <w:rPr>
          <w:rFonts w:ascii="Arial" w:hAnsi="Arial" w:cs="Arial"/>
          <w:i/>
          <w:iCs/>
          <w:sz w:val="20"/>
          <w:szCs w:val="20"/>
        </w:rPr>
        <w:lastRenderedPageBreak/>
        <w:t xml:space="preserve">constituirá título de dominio y una vez inscrita en la correspondiente Oficina de Registro de Instrumentos Públicos, será plena prueba de la propiedad. </w:t>
      </w:r>
      <w:r w:rsidRPr="00214DAE">
        <w:rPr>
          <w:rFonts w:ascii="Arial" w:eastAsia="Times New Roman" w:hAnsi="Arial" w:cs="Arial"/>
          <w:i/>
          <w:iCs/>
          <w:sz w:val="20"/>
          <w:szCs w:val="20"/>
          <w:lang w:eastAsia="es-CO"/>
        </w:rPr>
        <w:t>En ningún caso procederá la cesión anterior tratándose de inmuebles con mejoras construidas sobre bienes de uso público o destinados a la salud y a la educación. Tampoco procederá cuando se trate de inmuebles ubicados en zonas insalubres o zonas de alto riesgo no mitigable o en suelo de protección, de conformidad con las disposiciones locales sobre la materia.</w:t>
      </w:r>
    </w:p>
    <w:p w14:paraId="2597650D" w14:textId="77777777" w:rsidR="00800986" w:rsidRPr="001067CD" w:rsidRDefault="00800986" w:rsidP="00800986">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1. </w:t>
      </w:r>
      <w:r w:rsidRPr="001067CD">
        <w:rPr>
          <w:rFonts w:ascii="Arial" w:eastAsia="Times New Roman" w:hAnsi="Arial" w:cs="Arial"/>
          <w:i/>
          <w:iCs/>
          <w:sz w:val="20"/>
          <w:szCs w:val="20"/>
          <w:lang w:eastAsia="es-CO"/>
        </w:rPr>
        <w:t>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3C0C7642" w14:textId="77777777" w:rsidR="00800986" w:rsidRPr="001067CD" w:rsidRDefault="00800986" w:rsidP="00800986">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2. </w:t>
      </w:r>
      <w:r w:rsidRPr="001067CD">
        <w:rPr>
          <w:rFonts w:ascii="Arial" w:eastAsia="Times New Roman" w:hAnsi="Arial" w:cs="Arial"/>
          <w:i/>
          <w:iCs/>
          <w:sz w:val="20"/>
          <w:szCs w:val="20"/>
          <w:lang w:eastAsia="es-CO"/>
        </w:rPr>
        <w:t>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5218B98" w14:textId="77777777" w:rsidR="00800986" w:rsidRPr="001067CD" w:rsidRDefault="00800986" w:rsidP="00800986">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3</w:t>
      </w:r>
      <w:r w:rsidRPr="001067CD">
        <w:rPr>
          <w:rFonts w:ascii="Arial" w:eastAsia="Times New Roman" w:hAnsi="Arial" w:cs="Arial"/>
          <w:i/>
          <w:iCs/>
          <w:sz w:val="20"/>
          <w:szCs w:val="20"/>
          <w:lang w:eastAsia="es-CO"/>
        </w:rPr>
        <w:t>. En las resoluciones administrativas de transferencia mediante cesión a título gratuito, se constituirá patrimonio de familia inembargable.</w:t>
      </w:r>
    </w:p>
    <w:p w14:paraId="32F51EA3" w14:textId="77777777" w:rsidR="00800986" w:rsidRPr="001067CD" w:rsidRDefault="00800986" w:rsidP="00800986">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4. </w:t>
      </w:r>
      <w:r w:rsidRPr="001067CD">
        <w:rPr>
          <w:rFonts w:ascii="Arial" w:eastAsia="Times New Roman" w:hAnsi="Arial" w:cs="Arial"/>
          <w:i/>
          <w:iCs/>
          <w:sz w:val="20"/>
          <w:szCs w:val="20"/>
          <w:lang w:eastAsia="es-CO"/>
        </w:rPr>
        <w:t>La cesión de la que trata el presente artículo solo procederá siempre y cuando el beneficiario asuma y acredite el cumplimiento de las obligaciones fiscales pendientes de pago con la entidad territorial, generadas por el inmueble a titular por concepto de impuesto predial.</w:t>
      </w:r>
    </w:p>
    <w:p w14:paraId="00A51395" w14:textId="77777777" w:rsidR="00800986" w:rsidRPr="001067CD" w:rsidRDefault="00800986" w:rsidP="00800986">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5. </w:t>
      </w:r>
      <w:r w:rsidRPr="001067CD">
        <w:rPr>
          <w:rFonts w:ascii="Arial" w:eastAsia="Times New Roman" w:hAnsi="Arial" w:cs="Arial"/>
          <w:i/>
          <w:iCs/>
          <w:sz w:val="20"/>
          <w:szCs w:val="20"/>
          <w:lang w:eastAsia="es-CO"/>
        </w:rPr>
        <w:t>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r>
        <w:rPr>
          <w:rFonts w:ascii="Arial" w:eastAsia="Times New Roman" w:hAnsi="Arial" w:cs="Arial"/>
          <w:i/>
          <w:iCs/>
          <w:sz w:val="20"/>
          <w:szCs w:val="20"/>
          <w:lang w:eastAsia="es-CO"/>
        </w:rPr>
        <w:t>”</w:t>
      </w:r>
    </w:p>
    <w:p w14:paraId="7F694E61" w14:textId="2E1D031A" w:rsidR="00AF6D09" w:rsidRDefault="00800986" w:rsidP="00800986">
      <w:pPr>
        <w:jc w:val="both"/>
        <w:rPr>
          <w:rFonts w:ascii="Arial" w:eastAsia="Times New Roman" w:hAnsi="Arial" w:cs="Arial"/>
          <w:sz w:val="24"/>
          <w:szCs w:val="24"/>
          <w:lang w:eastAsia="es-CO"/>
        </w:rPr>
      </w:pPr>
      <w:r>
        <w:rPr>
          <w:rFonts w:ascii="Arial" w:eastAsia="Times New Roman" w:hAnsi="Arial" w:cs="Arial"/>
          <w:sz w:val="24"/>
          <w:szCs w:val="24"/>
          <w:lang w:eastAsia="es-CO"/>
        </w:rPr>
        <w:t>El citado articulo 277 de la Ley 1955 de 2019 fue reglamentado por el Decreto 149 del 04 de febrero de 2020, en los aspectos relacionados con la cesión gratuita de bienes inmuebles fiscales urbanos ocupados por un tercero de manera ilegal con mejoras o construcciones de destinación económica habitacional, siempre que se demuestre la ocupación ininterrumpida de diez (10) años.</w:t>
      </w:r>
    </w:p>
    <w:p w14:paraId="495119F7" w14:textId="240C8969" w:rsidR="00800986" w:rsidRDefault="00682136" w:rsidP="00800986">
      <w:pPr>
        <w:jc w:val="both"/>
        <w:rPr>
          <w:rFonts w:ascii="Arial" w:hAnsi="Arial" w:cs="Arial"/>
          <w:sz w:val="24"/>
          <w:szCs w:val="24"/>
        </w:rPr>
      </w:pPr>
      <w:r>
        <w:rPr>
          <w:rFonts w:ascii="Arial" w:hAnsi="Arial" w:cs="Arial"/>
          <w:sz w:val="24"/>
          <w:szCs w:val="24"/>
        </w:rPr>
        <w:t xml:space="preserve">Con la entrada en vigencia de la Ley 2044 de 2020, se hizo necesario modificar y adicionar algunos artículos al mencionado decreto referente a la </w:t>
      </w:r>
      <w:r w:rsidR="002F2B0F">
        <w:rPr>
          <w:rFonts w:ascii="Arial" w:hAnsi="Arial" w:cs="Arial"/>
          <w:sz w:val="24"/>
          <w:szCs w:val="24"/>
        </w:rPr>
        <w:t>cesión</w:t>
      </w:r>
      <w:r>
        <w:rPr>
          <w:rFonts w:ascii="Arial" w:hAnsi="Arial" w:cs="Arial"/>
          <w:sz w:val="24"/>
          <w:szCs w:val="24"/>
        </w:rPr>
        <w:t xml:space="preserve"> a </w:t>
      </w:r>
      <w:r w:rsidR="002F2B0F">
        <w:rPr>
          <w:rFonts w:ascii="Arial" w:hAnsi="Arial" w:cs="Arial"/>
          <w:sz w:val="24"/>
          <w:szCs w:val="24"/>
        </w:rPr>
        <w:t>título</w:t>
      </w:r>
      <w:r>
        <w:rPr>
          <w:rFonts w:ascii="Arial" w:hAnsi="Arial" w:cs="Arial"/>
          <w:sz w:val="24"/>
          <w:szCs w:val="24"/>
        </w:rPr>
        <w:t xml:space="preserve"> gratuito, la enajenación de bienes fiscales y la transferencia entre entidades, razón por la cual el Ministerio de Vivienda, Ciudad y Territorio profirió el Decreto 523 del </w:t>
      </w:r>
      <w:r w:rsidR="009A38AE">
        <w:rPr>
          <w:rFonts w:ascii="Arial" w:hAnsi="Arial" w:cs="Arial"/>
          <w:sz w:val="24"/>
          <w:szCs w:val="24"/>
        </w:rPr>
        <w:t>14 de mayo de 2021.</w:t>
      </w:r>
    </w:p>
    <w:p w14:paraId="792BD4B6" w14:textId="77777777" w:rsidR="00F0080E" w:rsidRDefault="00F0080E" w:rsidP="000232D0">
      <w:pPr>
        <w:jc w:val="both"/>
        <w:rPr>
          <w:rFonts w:ascii="Arial" w:hAnsi="Arial" w:cs="Arial"/>
          <w:sz w:val="24"/>
          <w:szCs w:val="24"/>
        </w:rPr>
      </w:pPr>
    </w:p>
    <w:p w14:paraId="133B920F" w14:textId="2DF3D56A" w:rsidR="000232D0" w:rsidRDefault="000232D0" w:rsidP="000232D0">
      <w:pPr>
        <w:jc w:val="both"/>
        <w:rPr>
          <w:rFonts w:ascii="Arial" w:hAnsi="Arial" w:cs="Arial"/>
          <w:b/>
          <w:bCs/>
          <w:sz w:val="24"/>
          <w:szCs w:val="24"/>
        </w:rPr>
      </w:pPr>
      <w:r w:rsidRPr="000232D0">
        <w:rPr>
          <w:rFonts w:ascii="Arial" w:hAnsi="Arial" w:cs="Arial"/>
          <w:b/>
          <w:bCs/>
          <w:sz w:val="24"/>
          <w:szCs w:val="24"/>
        </w:rPr>
        <w:t>FUNDAMENTOS JURÍDICOS</w:t>
      </w:r>
    </w:p>
    <w:p w14:paraId="16FD8BAB" w14:textId="2D222D96" w:rsidR="009064A0" w:rsidRPr="000232D0" w:rsidRDefault="009064A0" w:rsidP="000232D0">
      <w:pPr>
        <w:jc w:val="both"/>
        <w:rPr>
          <w:rFonts w:ascii="Arial" w:hAnsi="Arial" w:cs="Arial"/>
          <w:sz w:val="24"/>
          <w:szCs w:val="24"/>
        </w:rPr>
      </w:pPr>
      <w:r w:rsidRPr="000232D0">
        <w:rPr>
          <w:rFonts w:ascii="Arial" w:hAnsi="Arial" w:cs="Arial"/>
          <w:sz w:val="24"/>
          <w:szCs w:val="24"/>
        </w:rPr>
        <w:t>La iniciativa se sustenta en el marco legal robustecido por el Gobierno Nacional para agilizar la titulación en las regiones:</w:t>
      </w:r>
    </w:p>
    <w:p w14:paraId="17E3CC4E" w14:textId="77777777" w:rsidR="009064A0" w:rsidRPr="000232D0" w:rsidRDefault="009064A0" w:rsidP="000232D0">
      <w:pPr>
        <w:pStyle w:val="NormalWeb"/>
        <w:numPr>
          <w:ilvl w:val="0"/>
          <w:numId w:val="31"/>
        </w:numPr>
        <w:jc w:val="both"/>
        <w:rPr>
          <w:rFonts w:ascii="Arial" w:hAnsi="Arial" w:cs="Arial"/>
        </w:rPr>
      </w:pPr>
      <w:r w:rsidRPr="000232D0">
        <w:rPr>
          <w:rFonts w:ascii="Arial" w:hAnsi="Arial" w:cs="Arial"/>
          <w:b/>
          <w:bCs/>
        </w:rPr>
        <w:t>Constitución Política de Colombia (Art. 51):</w:t>
      </w:r>
      <w:r w:rsidRPr="000232D0">
        <w:rPr>
          <w:rFonts w:ascii="Arial" w:hAnsi="Arial" w:cs="Arial"/>
        </w:rPr>
        <w:t xml:space="preserve"> Define el derecho de todos los colombianos a tener una vivienda digna y la obligación del Estado de fijar las condiciones para hacer efectivo este derecho.</w:t>
      </w:r>
    </w:p>
    <w:p w14:paraId="1921941F" w14:textId="77777777" w:rsidR="009064A0" w:rsidRPr="000232D0" w:rsidRDefault="009064A0" w:rsidP="000232D0">
      <w:pPr>
        <w:pStyle w:val="NormalWeb"/>
        <w:numPr>
          <w:ilvl w:val="0"/>
          <w:numId w:val="31"/>
        </w:numPr>
        <w:jc w:val="both"/>
        <w:rPr>
          <w:rFonts w:ascii="Arial" w:hAnsi="Arial" w:cs="Arial"/>
        </w:rPr>
      </w:pPr>
      <w:r w:rsidRPr="000232D0">
        <w:rPr>
          <w:rFonts w:ascii="Arial" w:hAnsi="Arial" w:cs="Arial"/>
          <w:b/>
          <w:bCs/>
        </w:rPr>
        <w:t>Ley 1955 de 2019 (Art. 277):</w:t>
      </w:r>
      <w:r w:rsidRPr="000232D0">
        <w:rPr>
          <w:rFonts w:ascii="Arial" w:hAnsi="Arial" w:cs="Arial"/>
        </w:rPr>
        <w:t xml:space="preserve"> Establece que las entidades públicas podrán transferir mediante cesión gratuita los bienes fiscales que hayan sido ocupados ilegalmente con mejoras y edificaciones con fines de vivienda de interés social, siempre que la ocupación haya ocurrido antes del 30 de noviembre de 2001 (o bajo las nuevas condiciones de la Ley 2044 de 2020).</w:t>
      </w:r>
    </w:p>
    <w:p w14:paraId="383C1D30" w14:textId="77777777" w:rsidR="009064A0" w:rsidRPr="000232D0" w:rsidRDefault="009064A0" w:rsidP="000232D0">
      <w:pPr>
        <w:pStyle w:val="NormalWeb"/>
        <w:numPr>
          <w:ilvl w:val="0"/>
          <w:numId w:val="31"/>
        </w:numPr>
        <w:jc w:val="both"/>
        <w:rPr>
          <w:rFonts w:ascii="Arial" w:hAnsi="Arial" w:cs="Arial"/>
        </w:rPr>
      </w:pPr>
      <w:r w:rsidRPr="000232D0">
        <w:rPr>
          <w:rFonts w:ascii="Arial" w:hAnsi="Arial" w:cs="Arial"/>
          <w:b/>
          <w:bCs/>
        </w:rPr>
        <w:t>Decreto 149 de 2020:</w:t>
      </w:r>
      <w:r w:rsidRPr="000232D0">
        <w:rPr>
          <w:rFonts w:ascii="Arial" w:hAnsi="Arial" w:cs="Arial"/>
        </w:rPr>
        <w:t xml:space="preserve"> Reglamenta el procedimiento para la enajenación de bienes fiscales y la cesión gratuita, dictando las pautas técnicas y administrativas para que los municipios ejecuten los programas de titulación.</w:t>
      </w:r>
    </w:p>
    <w:p w14:paraId="75388F8E" w14:textId="3AA2DF74" w:rsidR="009064A0" w:rsidRDefault="009064A0" w:rsidP="000232D0">
      <w:pPr>
        <w:pStyle w:val="NormalWeb"/>
        <w:numPr>
          <w:ilvl w:val="0"/>
          <w:numId w:val="31"/>
        </w:numPr>
        <w:jc w:val="both"/>
        <w:rPr>
          <w:rFonts w:ascii="Arial" w:hAnsi="Arial" w:cs="Arial"/>
        </w:rPr>
      </w:pPr>
      <w:r w:rsidRPr="000232D0">
        <w:rPr>
          <w:rFonts w:ascii="Arial" w:hAnsi="Arial" w:cs="Arial"/>
          <w:b/>
          <w:bCs/>
        </w:rPr>
        <w:t>Ley 2044 de 2020:</w:t>
      </w:r>
      <w:r w:rsidRPr="000232D0">
        <w:rPr>
          <w:rFonts w:ascii="Arial" w:hAnsi="Arial" w:cs="Arial"/>
        </w:rPr>
        <w:t xml:space="preserve"> Dicta normas para el saneamiento de la propiedad de asentamientos humanos precarios y facilita la legalización de predios.</w:t>
      </w:r>
    </w:p>
    <w:p w14:paraId="0208211D" w14:textId="346510AE" w:rsidR="00391929" w:rsidRDefault="00391929" w:rsidP="00391929">
      <w:pPr>
        <w:pStyle w:val="NormalWeb"/>
        <w:jc w:val="both"/>
        <w:rPr>
          <w:rFonts w:ascii="Arial" w:hAnsi="Arial" w:cs="Arial"/>
        </w:rPr>
      </w:pPr>
      <w:r>
        <w:rPr>
          <w:rFonts w:ascii="Arial" w:hAnsi="Arial" w:cs="Arial"/>
        </w:rPr>
        <w:t xml:space="preserve">El estado puede entonces transferir en forma gratuita el dominio de un bien estatal a un particular, siempre y cuando no se trate de una mera liberación del </w:t>
      </w:r>
      <w:r w:rsidR="00C54DDF">
        <w:rPr>
          <w:rFonts w:ascii="Arial" w:hAnsi="Arial" w:cs="Arial"/>
        </w:rPr>
        <w:t>Estado sino</w:t>
      </w:r>
      <w:r>
        <w:rPr>
          <w:rFonts w:ascii="Arial" w:hAnsi="Arial" w:cs="Arial"/>
        </w:rPr>
        <w:t xml:space="preserve"> </w:t>
      </w:r>
      <w:r>
        <w:rPr>
          <w:rFonts w:ascii="Arial" w:hAnsi="Arial" w:cs="Arial"/>
        </w:rPr>
        <w:lastRenderedPageBreak/>
        <w:t>del cumplimiento de deberes constitucionales expresos, entre los cuales esta obviamente incluida la garantía de derechos constitucionales.</w:t>
      </w:r>
    </w:p>
    <w:p w14:paraId="744879E9" w14:textId="77777777" w:rsidR="002F2B0F" w:rsidRDefault="002F2B0F" w:rsidP="000232D0">
      <w:pPr>
        <w:rPr>
          <w:rFonts w:ascii="Arial" w:hAnsi="Arial" w:cs="Arial"/>
          <w:b/>
          <w:bCs/>
          <w:sz w:val="24"/>
          <w:szCs w:val="24"/>
        </w:rPr>
      </w:pPr>
    </w:p>
    <w:p w14:paraId="15E8219E" w14:textId="10003D9D" w:rsidR="009064A0" w:rsidRPr="000232D0" w:rsidRDefault="000232D0" w:rsidP="000232D0">
      <w:pPr>
        <w:rPr>
          <w:rFonts w:ascii="Arial" w:hAnsi="Arial" w:cs="Arial"/>
          <w:b/>
          <w:bCs/>
          <w:sz w:val="24"/>
          <w:szCs w:val="24"/>
        </w:rPr>
      </w:pPr>
      <w:r w:rsidRPr="000232D0">
        <w:rPr>
          <w:rFonts w:ascii="Arial" w:hAnsi="Arial" w:cs="Arial"/>
          <w:b/>
          <w:bCs/>
          <w:sz w:val="24"/>
          <w:szCs w:val="24"/>
        </w:rPr>
        <w:t>IMPACTO SOCIOECONÓMICO PARA DIBULLA</w:t>
      </w:r>
    </w:p>
    <w:p w14:paraId="055E5496" w14:textId="77777777" w:rsidR="009064A0" w:rsidRPr="000232D0" w:rsidRDefault="009064A0" w:rsidP="000232D0">
      <w:pPr>
        <w:jc w:val="both"/>
        <w:rPr>
          <w:rFonts w:ascii="Arial" w:hAnsi="Arial" w:cs="Arial"/>
          <w:sz w:val="24"/>
          <w:szCs w:val="24"/>
        </w:rPr>
      </w:pPr>
      <w:r w:rsidRPr="000232D0">
        <w:rPr>
          <w:rFonts w:ascii="Arial" w:hAnsi="Arial" w:cs="Arial"/>
          <w:sz w:val="24"/>
          <w:szCs w:val="24"/>
        </w:rPr>
        <w:t>La formalización de la propiedad no es solo un trámite administrativo; es una herramienta de transformación social para nuestro municipio:</w:t>
      </w:r>
    </w:p>
    <w:p w14:paraId="0EDFBC16" w14:textId="77777777" w:rsidR="009064A0" w:rsidRPr="000232D0" w:rsidRDefault="009064A0" w:rsidP="000232D0">
      <w:pPr>
        <w:jc w:val="both"/>
        <w:rPr>
          <w:rFonts w:ascii="Arial" w:hAnsi="Arial" w:cs="Arial"/>
          <w:sz w:val="24"/>
          <w:szCs w:val="24"/>
        </w:rPr>
      </w:pPr>
      <w:r w:rsidRPr="000232D0">
        <w:rPr>
          <w:rFonts w:ascii="Arial" w:hAnsi="Arial" w:cs="Arial"/>
          <w:b/>
          <w:bCs/>
          <w:sz w:val="24"/>
          <w:szCs w:val="24"/>
        </w:rPr>
        <w:t>Seguridad Jurídica:</w:t>
      </w:r>
      <w:r w:rsidRPr="000232D0">
        <w:rPr>
          <w:rFonts w:ascii="Arial" w:hAnsi="Arial" w:cs="Arial"/>
          <w:sz w:val="24"/>
          <w:szCs w:val="24"/>
        </w:rPr>
        <w:t xml:space="preserve"> Protege el patrimonio de las familias frente a posibles litigios.</w:t>
      </w:r>
    </w:p>
    <w:p w14:paraId="383F574F" w14:textId="77777777" w:rsidR="009064A0" w:rsidRPr="000232D0" w:rsidRDefault="009064A0" w:rsidP="000232D0">
      <w:pPr>
        <w:jc w:val="both"/>
        <w:rPr>
          <w:rFonts w:ascii="Arial" w:hAnsi="Arial" w:cs="Arial"/>
          <w:sz w:val="24"/>
          <w:szCs w:val="24"/>
        </w:rPr>
      </w:pPr>
      <w:r w:rsidRPr="000232D0">
        <w:rPr>
          <w:rFonts w:ascii="Arial" w:hAnsi="Arial" w:cs="Arial"/>
          <w:b/>
          <w:bCs/>
          <w:sz w:val="24"/>
          <w:szCs w:val="24"/>
        </w:rPr>
        <w:t>Acceso al Sistema Financiero:</w:t>
      </w:r>
      <w:r w:rsidRPr="000232D0">
        <w:rPr>
          <w:rFonts w:ascii="Arial" w:hAnsi="Arial" w:cs="Arial"/>
          <w:sz w:val="24"/>
          <w:szCs w:val="24"/>
        </w:rPr>
        <w:t xml:space="preserve"> Un título de propiedad permite a los ciudadanos acceder a créditos bancarios y subsidios de mejoramiento de vivienda.</w:t>
      </w:r>
    </w:p>
    <w:p w14:paraId="710537D4" w14:textId="77777777" w:rsidR="009064A0" w:rsidRPr="000232D0" w:rsidRDefault="009064A0" w:rsidP="000232D0">
      <w:pPr>
        <w:jc w:val="both"/>
        <w:rPr>
          <w:rFonts w:ascii="Arial" w:hAnsi="Arial" w:cs="Arial"/>
          <w:sz w:val="24"/>
          <w:szCs w:val="24"/>
        </w:rPr>
      </w:pPr>
      <w:r w:rsidRPr="000232D0">
        <w:rPr>
          <w:rFonts w:ascii="Arial" w:hAnsi="Arial" w:cs="Arial"/>
          <w:b/>
          <w:bCs/>
          <w:sz w:val="24"/>
          <w:szCs w:val="24"/>
        </w:rPr>
        <w:t>Inversión Pública:</w:t>
      </w:r>
      <w:r w:rsidRPr="000232D0">
        <w:rPr>
          <w:rFonts w:ascii="Arial" w:hAnsi="Arial" w:cs="Arial"/>
          <w:sz w:val="24"/>
          <w:szCs w:val="24"/>
        </w:rPr>
        <w:t xml:space="preserve"> Facilita que la administración municipal pueda invertir recursos en servicios públicos y pavimentación en zonas que antes, por ser informales, tenían restricciones de inversión.</w:t>
      </w:r>
    </w:p>
    <w:p w14:paraId="510547AC" w14:textId="2C7311A8" w:rsidR="009064A0" w:rsidRDefault="00C54DDF" w:rsidP="00C54DDF">
      <w:pPr>
        <w:jc w:val="both"/>
        <w:rPr>
          <w:rFonts w:ascii="Arial" w:hAnsi="Arial" w:cs="Arial"/>
          <w:sz w:val="24"/>
          <w:szCs w:val="24"/>
        </w:rPr>
      </w:pPr>
      <w:r>
        <w:rPr>
          <w:rFonts w:ascii="Arial" w:hAnsi="Arial" w:cs="Arial"/>
          <w:sz w:val="24"/>
          <w:szCs w:val="24"/>
        </w:rPr>
        <w:t>Que la Oficina de Planeación o quien haga sus veces deberá certificar que los predios que sean objeto de aplicación de este Acuerdo Municipal n</w:t>
      </w:r>
      <w:r w:rsidR="009064A0" w:rsidRPr="000232D0">
        <w:rPr>
          <w:rFonts w:ascii="Arial" w:hAnsi="Arial" w:cs="Arial"/>
          <w:sz w:val="24"/>
          <w:szCs w:val="24"/>
        </w:rPr>
        <w:t>o se encuentren en zonas de alto riesgo no mitigable</w:t>
      </w:r>
      <w:r>
        <w:rPr>
          <w:rFonts w:ascii="Arial" w:hAnsi="Arial" w:cs="Arial"/>
          <w:sz w:val="24"/>
          <w:szCs w:val="24"/>
        </w:rPr>
        <w:t>,</w:t>
      </w:r>
      <w:r w:rsidR="009064A0" w:rsidRPr="000232D0">
        <w:rPr>
          <w:rFonts w:ascii="Arial" w:hAnsi="Arial" w:cs="Arial"/>
          <w:sz w:val="24"/>
          <w:szCs w:val="24"/>
        </w:rPr>
        <w:t xml:space="preserve"> </w:t>
      </w:r>
      <w:r>
        <w:rPr>
          <w:rFonts w:ascii="Arial" w:hAnsi="Arial" w:cs="Arial"/>
          <w:sz w:val="24"/>
          <w:szCs w:val="24"/>
        </w:rPr>
        <w:t xml:space="preserve">en </w:t>
      </w:r>
      <w:r w:rsidR="009064A0" w:rsidRPr="000232D0">
        <w:rPr>
          <w:rFonts w:ascii="Arial" w:hAnsi="Arial" w:cs="Arial"/>
          <w:sz w:val="24"/>
          <w:szCs w:val="24"/>
        </w:rPr>
        <w:t>áreas de protección ambiental</w:t>
      </w:r>
      <w:r>
        <w:rPr>
          <w:rFonts w:ascii="Arial" w:hAnsi="Arial" w:cs="Arial"/>
          <w:sz w:val="24"/>
          <w:szCs w:val="24"/>
        </w:rPr>
        <w:t>,</w:t>
      </w:r>
      <w:r w:rsidR="009064A0" w:rsidRPr="000232D0">
        <w:rPr>
          <w:rFonts w:ascii="Arial" w:hAnsi="Arial" w:cs="Arial"/>
          <w:sz w:val="24"/>
          <w:szCs w:val="24"/>
        </w:rPr>
        <w:t xml:space="preserve"> </w:t>
      </w:r>
      <w:r>
        <w:rPr>
          <w:rFonts w:ascii="Arial" w:hAnsi="Arial" w:cs="Arial"/>
          <w:sz w:val="24"/>
          <w:szCs w:val="24"/>
        </w:rPr>
        <w:t xml:space="preserve">en </w:t>
      </w:r>
      <w:r w:rsidR="009064A0" w:rsidRPr="000232D0">
        <w:rPr>
          <w:rFonts w:ascii="Arial" w:hAnsi="Arial" w:cs="Arial"/>
          <w:sz w:val="24"/>
          <w:szCs w:val="24"/>
        </w:rPr>
        <w:t>reserva forestal</w:t>
      </w:r>
      <w:r>
        <w:rPr>
          <w:rFonts w:ascii="Arial" w:hAnsi="Arial" w:cs="Arial"/>
          <w:sz w:val="24"/>
          <w:szCs w:val="24"/>
        </w:rPr>
        <w:t xml:space="preserve"> </w:t>
      </w:r>
      <w:r w:rsidR="002F2B0F">
        <w:rPr>
          <w:rFonts w:ascii="Arial" w:hAnsi="Arial" w:cs="Arial"/>
          <w:sz w:val="24"/>
          <w:szCs w:val="24"/>
        </w:rPr>
        <w:t xml:space="preserve">o </w:t>
      </w:r>
      <w:r w:rsidR="002F2B0F" w:rsidRPr="000232D0">
        <w:rPr>
          <w:rFonts w:ascii="Arial" w:hAnsi="Arial" w:cs="Arial"/>
          <w:sz w:val="24"/>
          <w:szCs w:val="24"/>
        </w:rPr>
        <w:t>estén</w:t>
      </w:r>
      <w:r w:rsidR="009064A0" w:rsidRPr="000232D0">
        <w:rPr>
          <w:rFonts w:ascii="Arial" w:hAnsi="Arial" w:cs="Arial"/>
          <w:sz w:val="24"/>
          <w:szCs w:val="24"/>
        </w:rPr>
        <w:t xml:space="preserve"> destinados a uso público (parques, zonas verdes)</w:t>
      </w:r>
      <w:r w:rsidR="00DD74D9">
        <w:rPr>
          <w:rFonts w:ascii="Arial" w:hAnsi="Arial" w:cs="Arial"/>
          <w:sz w:val="24"/>
          <w:szCs w:val="24"/>
        </w:rPr>
        <w:t xml:space="preserve">, que no hacen parte de las áreas relacionadas </w:t>
      </w:r>
      <w:r w:rsidR="00A473CB">
        <w:rPr>
          <w:rFonts w:ascii="Arial" w:hAnsi="Arial" w:cs="Arial"/>
          <w:sz w:val="24"/>
          <w:szCs w:val="24"/>
        </w:rPr>
        <w:t>en los artículos 35 y 37 de la Ley 388 de 1997.</w:t>
      </w:r>
    </w:p>
    <w:p w14:paraId="0C54E376" w14:textId="334C7F65" w:rsidR="00A473CB" w:rsidRPr="000232D0" w:rsidRDefault="00A473CB" w:rsidP="00C54DDF">
      <w:pPr>
        <w:jc w:val="both"/>
        <w:rPr>
          <w:rFonts w:ascii="Arial" w:hAnsi="Arial" w:cs="Arial"/>
          <w:sz w:val="24"/>
          <w:szCs w:val="24"/>
        </w:rPr>
      </w:pPr>
      <w:r>
        <w:rPr>
          <w:rFonts w:ascii="Arial" w:hAnsi="Arial" w:cs="Arial"/>
          <w:sz w:val="24"/>
          <w:szCs w:val="24"/>
        </w:rPr>
        <w:t xml:space="preserve">Que se hace necesario realizar programas de titulación de los predios urbanos a los hogares que los ocupan, además de garantizarle su condición de propietarios que les permitirá apropiar recursos para subsidios de mejoramiento de vivienda </w:t>
      </w:r>
    </w:p>
    <w:p w14:paraId="258B9F32" w14:textId="11F39BB9" w:rsidR="0011205E" w:rsidRDefault="0011205E" w:rsidP="007E70E6">
      <w:pPr>
        <w:jc w:val="center"/>
        <w:rPr>
          <w:rFonts w:ascii="Arial" w:hAnsi="Arial" w:cs="Arial"/>
          <w:sz w:val="24"/>
          <w:szCs w:val="24"/>
        </w:rPr>
      </w:pPr>
    </w:p>
    <w:p w14:paraId="555FAAB9" w14:textId="77777777" w:rsidR="00B0468F" w:rsidRDefault="00B0468F" w:rsidP="00B0468F">
      <w:pPr>
        <w:pStyle w:val="Sinespaciado"/>
        <w:rPr>
          <w:rFonts w:ascii="Arial" w:hAnsi="Arial" w:cs="Arial"/>
          <w:b/>
          <w:bCs/>
          <w:sz w:val="24"/>
          <w:szCs w:val="24"/>
          <w:lang w:eastAsia="es-CO"/>
        </w:rPr>
      </w:pPr>
      <w:r>
        <w:rPr>
          <w:rFonts w:ascii="Arial" w:hAnsi="Arial" w:cs="Arial"/>
          <w:b/>
          <w:bCs/>
          <w:sz w:val="24"/>
          <w:szCs w:val="24"/>
          <w:lang w:eastAsia="es-CO"/>
        </w:rPr>
        <w:t>ALBERTO MONTERO MOLINA</w:t>
      </w:r>
    </w:p>
    <w:p w14:paraId="52255725" w14:textId="77777777" w:rsidR="00B0468F" w:rsidRDefault="00B0468F" w:rsidP="00B0468F">
      <w:pPr>
        <w:pStyle w:val="Sinespaciado"/>
        <w:rPr>
          <w:rStyle w:val="Textoennegrita"/>
        </w:rPr>
      </w:pPr>
      <w:r>
        <w:rPr>
          <w:rFonts w:ascii="Arial" w:hAnsi="Arial" w:cs="Arial"/>
          <w:sz w:val="24"/>
          <w:szCs w:val="24"/>
          <w:lang w:eastAsia="es-CO"/>
        </w:rPr>
        <w:t>Alcalde Municipal de Dibulla</w:t>
      </w:r>
    </w:p>
    <w:sectPr w:rsidR="00B0468F" w:rsidSect="001F58FA">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6CCF"/>
    <w:multiLevelType w:val="multilevel"/>
    <w:tmpl w:val="154E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80566"/>
    <w:multiLevelType w:val="hybridMultilevel"/>
    <w:tmpl w:val="A3268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6702A4"/>
    <w:multiLevelType w:val="multilevel"/>
    <w:tmpl w:val="F4807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1B2B6B"/>
    <w:multiLevelType w:val="multilevel"/>
    <w:tmpl w:val="CD94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563599"/>
    <w:multiLevelType w:val="multilevel"/>
    <w:tmpl w:val="B812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E1077D"/>
    <w:multiLevelType w:val="hybridMultilevel"/>
    <w:tmpl w:val="CAF6F9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DFA3455"/>
    <w:multiLevelType w:val="multilevel"/>
    <w:tmpl w:val="C0D4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F096C"/>
    <w:multiLevelType w:val="multilevel"/>
    <w:tmpl w:val="4E52F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078E7"/>
    <w:multiLevelType w:val="multilevel"/>
    <w:tmpl w:val="FBC4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082672"/>
    <w:multiLevelType w:val="multilevel"/>
    <w:tmpl w:val="3390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1569C"/>
    <w:multiLevelType w:val="hybridMultilevel"/>
    <w:tmpl w:val="ECB8EB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BD82841"/>
    <w:multiLevelType w:val="multilevel"/>
    <w:tmpl w:val="F4CC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9E7814"/>
    <w:multiLevelType w:val="multilevel"/>
    <w:tmpl w:val="C672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827"/>
    <w:multiLevelType w:val="multilevel"/>
    <w:tmpl w:val="37B4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F86755"/>
    <w:multiLevelType w:val="multilevel"/>
    <w:tmpl w:val="E874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23522"/>
    <w:multiLevelType w:val="multilevel"/>
    <w:tmpl w:val="1F88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F0297B"/>
    <w:multiLevelType w:val="multilevel"/>
    <w:tmpl w:val="2F9CD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C86E57"/>
    <w:multiLevelType w:val="multilevel"/>
    <w:tmpl w:val="9BFC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C15464"/>
    <w:multiLevelType w:val="multilevel"/>
    <w:tmpl w:val="A4167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04019F"/>
    <w:multiLevelType w:val="hybridMultilevel"/>
    <w:tmpl w:val="E52663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4A52915"/>
    <w:multiLevelType w:val="multilevel"/>
    <w:tmpl w:val="81E0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19427C"/>
    <w:multiLevelType w:val="multilevel"/>
    <w:tmpl w:val="B1C8B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0922E0"/>
    <w:multiLevelType w:val="multilevel"/>
    <w:tmpl w:val="241EE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712633"/>
    <w:multiLevelType w:val="multilevel"/>
    <w:tmpl w:val="6D5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DF2456"/>
    <w:multiLevelType w:val="multilevel"/>
    <w:tmpl w:val="490C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812AB5"/>
    <w:multiLevelType w:val="hybridMultilevel"/>
    <w:tmpl w:val="1E3A1B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2EE16B0"/>
    <w:multiLevelType w:val="multilevel"/>
    <w:tmpl w:val="215A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D672E8"/>
    <w:multiLevelType w:val="multilevel"/>
    <w:tmpl w:val="E682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7C0E47"/>
    <w:multiLevelType w:val="hybridMultilevel"/>
    <w:tmpl w:val="CFB29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85C29B6"/>
    <w:multiLevelType w:val="multilevel"/>
    <w:tmpl w:val="BEF8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012DF9"/>
    <w:multiLevelType w:val="multilevel"/>
    <w:tmpl w:val="D95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AA1D06"/>
    <w:multiLevelType w:val="multilevel"/>
    <w:tmpl w:val="2980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1D466D"/>
    <w:multiLevelType w:val="multilevel"/>
    <w:tmpl w:val="060A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3"/>
  </w:num>
  <w:num w:numId="3">
    <w:abstractNumId w:val="27"/>
  </w:num>
  <w:num w:numId="4">
    <w:abstractNumId w:val="31"/>
  </w:num>
  <w:num w:numId="5">
    <w:abstractNumId w:val="4"/>
  </w:num>
  <w:num w:numId="6">
    <w:abstractNumId w:val="0"/>
  </w:num>
  <w:num w:numId="7">
    <w:abstractNumId w:val="16"/>
  </w:num>
  <w:num w:numId="8">
    <w:abstractNumId w:val="11"/>
  </w:num>
  <w:num w:numId="9">
    <w:abstractNumId w:val="18"/>
  </w:num>
  <w:num w:numId="10">
    <w:abstractNumId w:val="14"/>
  </w:num>
  <w:num w:numId="11">
    <w:abstractNumId w:val="3"/>
  </w:num>
  <w:num w:numId="12">
    <w:abstractNumId w:val="26"/>
  </w:num>
  <w:num w:numId="13">
    <w:abstractNumId w:val="17"/>
  </w:num>
  <w:num w:numId="14">
    <w:abstractNumId w:val="30"/>
  </w:num>
  <w:num w:numId="15">
    <w:abstractNumId w:val="6"/>
  </w:num>
  <w:num w:numId="16">
    <w:abstractNumId w:val="8"/>
  </w:num>
  <w:num w:numId="17">
    <w:abstractNumId w:val="9"/>
  </w:num>
  <w:num w:numId="18">
    <w:abstractNumId w:val="20"/>
  </w:num>
  <w:num w:numId="19">
    <w:abstractNumId w:val="24"/>
  </w:num>
  <w:num w:numId="20">
    <w:abstractNumId w:val="13"/>
  </w:num>
  <w:num w:numId="21">
    <w:abstractNumId w:val="7"/>
  </w:num>
  <w:num w:numId="22">
    <w:abstractNumId w:val="15"/>
  </w:num>
  <w:num w:numId="23">
    <w:abstractNumId w:val="21"/>
  </w:num>
  <w:num w:numId="24">
    <w:abstractNumId w:val="12"/>
  </w:num>
  <w:num w:numId="25">
    <w:abstractNumId w:val="25"/>
  </w:num>
  <w:num w:numId="26">
    <w:abstractNumId w:val="19"/>
  </w:num>
  <w:num w:numId="27">
    <w:abstractNumId w:val="1"/>
  </w:num>
  <w:num w:numId="28">
    <w:abstractNumId w:val="5"/>
  </w:num>
  <w:num w:numId="29">
    <w:abstractNumId w:val="28"/>
  </w:num>
  <w:num w:numId="30">
    <w:abstractNumId w:val="10"/>
  </w:num>
  <w:num w:numId="31">
    <w:abstractNumId w:val="2"/>
  </w:num>
  <w:num w:numId="32">
    <w:abstractNumId w:val="3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16E"/>
    <w:rsid w:val="000232D0"/>
    <w:rsid w:val="00051284"/>
    <w:rsid w:val="000A5673"/>
    <w:rsid w:val="000F4361"/>
    <w:rsid w:val="001067CD"/>
    <w:rsid w:val="00107F7F"/>
    <w:rsid w:val="001100E3"/>
    <w:rsid w:val="0011205E"/>
    <w:rsid w:val="0014716B"/>
    <w:rsid w:val="00150A4B"/>
    <w:rsid w:val="00163F3B"/>
    <w:rsid w:val="001A4662"/>
    <w:rsid w:val="001C3260"/>
    <w:rsid w:val="001E2064"/>
    <w:rsid w:val="001F58FA"/>
    <w:rsid w:val="001F6EE4"/>
    <w:rsid w:val="00214DAE"/>
    <w:rsid w:val="0026342B"/>
    <w:rsid w:val="002C0B8C"/>
    <w:rsid w:val="002F2A10"/>
    <w:rsid w:val="002F2B0F"/>
    <w:rsid w:val="003663C1"/>
    <w:rsid w:val="00391929"/>
    <w:rsid w:val="003B77F5"/>
    <w:rsid w:val="003D5457"/>
    <w:rsid w:val="00492E55"/>
    <w:rsid w:val="00591670"/>
    <w:rsid w:val="00602556"/>
    <w:rsid w:val="00682136"/>
    <w:rsid w:val="00697DF0"/>
    <w:rsid w:val="006F7468"/>
    <w:rsid w:val="007B15C3"/>
    <w:rsid w:val="007E70E6"/>
    <w:rsid w:val="007F322E"/>
    <w:rsid w:val="00800986"/>
    <w:rsid w:val="00874325"/>
    <w:rsid w:val="008C32D2"/>
    <w:rsid w:val="0090525F"/>
    <w:rsid w:val="009064A0"/>
    <w:rsid w:val="009A38AE"/>
    <w:rsid w:val="009A43F0"/>
    <w:rsid w:val="009C2171"/>
    <w:rsid w:val="00A43B0E"/>
    <w:rsid w:val="00A473CB"/>
    <w:rsid w:val="00AD707B"/>
    <w:rsid w:val="00AF6D09"/>
    <w:rsid w:val="00B0468F"/>
    <w:rsid w:val="00C452B1"/>
    <w:rsid w:val="00C54DDF"/>
    <w:rsid w:val="00C56290"/>
    <w:rsid w:val="00C65498"/>
    <w:rsid w:val="00CA4149"/>
    <w:rsid w:val="00CA616E"/>
    <w:rsid w:val="00CE40D5"/>
    <w:rsid w:val="00D64070"/>
    <w:rsid w:val="00DD74D9"/>
    <w:rsid w:val="00E140C4"/>
    <w:rsid w:val="00E83696"/>
    <w:rsid w:val="00E93733"/>
    <w:rsid w:val="00ED0EF5"/>
    <w:rsid w:val="00F0080E"/>
    <w:rsid w:val="00F46EB0"/>
    <w:rsid w:val="00F64764"/>
    <w:rsid w:val="00F90F8C"/>
    <w:rsid w:val="00F91036"/>
    <w:rsid w:val="00F924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2227"/>
  <w15:chartTrackingRefBased/>
  <w15:docId w15:val="{AC67B74F-5D00-4B30-8935-FAD0CCD0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CA61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CA616E"/>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1F58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A616E"/>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CA616E"/>
    <w:rPr>
      <w:rFonts w:ascii="Times New Roman" w:eastAsia="Times New Roman" w:hAnsi="Times New Roman" w:cs="Times New Roman"/>
      <w:b/>
      <w:bCs/>
      <w:sz w:val="36"/>
      <w:szCs w:val="36"/>
      <w:lang w:eastAsia="es-CO"/>
    </w:rPr>
  </w:style>
  <w:style w:type="paragraph" w:styleId="NormalWeb">
    <w:name w:val="Normal (Web)"/>
    <w:basedOn w:val="Normal"/>
    <w:uiPriority w:val="99"/>
    <w:unhideWhenUsed/>
    <w:rsid w:val="00CA616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A616E"/>
    <w:rPr>
      <w:b/>
      <w:bCs/>
    </w:rPr>
  </w:style>
  <w:style w:type="character" w:customStyle="1" w:styleId="whitespace-normal">
    <w:name w:val="whitespace-normal"/>
    <w:basedOn w:val="Fuentedeprrafopredeter"/>
    <w:rsid w:val="00CA616E"/>
  </w:style>
  <w:style w:type="character" w:customStyle="1" w:styleId="Ttulo3Car">
    <w:name w:val="Título 3 Car"/>
    <w:basedOn w:val="Fuentedeprrafopredeter"/>
    <w:link w:val="Ttulo3"/>
    <w:uiPriority w:val="9"/>
    <w:semiHidden/>
    <w:rsid w:val="001F58FA"/>
    <w:rPr>
      <w:rFonts w:asciiTheme="majorHAnsi" w:eastAsiaTheme="majorEastAsia" w:hAnsiTheme="majorHAnsi" w:cstheme="majorBidi"/>
      <w:color w:val="1F3763" w:themeColor="accent1" w:themeShade="7F"/>
      <w:sz w:val="24"/>
      <w:szCs w:val="24"/>
    </w:rPr>
  </w:style>
  <w:style w:type="paragraph" w:styleId="Prrafodelista">
    <w:name w:val="List Paragraph"/>
    <w:basedOn w:val="Normal"/>
    <w:uiPriority w:val="34"/>
    <w:qFormat/>
    <w:rsid w:val="001F58FA"/>
    <w:pPr>
      <w:ind w:left="720"/>
      <w:contextualSpacing/>
    </w:pPr>
  </w:style>
  <w:style w:type="character" w:customStyle="1" w:styleId="n9q8lc">
    <w:name w:val="n9q8lc"/>
    <w:basedOn w:val="Fuentedeprrafopredeter"/>
    <w:rsid w:val="00602556"/>
  </w:style>
  <w:style w:type="character" w:styleId="Hipervnculo">
    <w:name w:val="Hyperlink"/>
    <w:basedOn w:val="Fuentedeprrafopredeter"/>
    <w:uiPriority w:val="99"/>
    <w:semiHidden/>
    <w:unhideWhenUsed/>
    <w:rsid w:val="00602556"/>
    <w:rPr>
      <w:color w:val="0000FF"/>
      <w:u w:val="single"/>
    </w:rPr>
  </w:style>
  <w:style w:type="paragraph" w:styleId="Sinespaciado">
    <w:name w:val="No Spacing"/>
    <w:uiPriority w:val="1"/>
    <w:qFormat/>
    <w:rsid w:val="000232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458934">
      <w:bodyDiv w:val="1"/>
      <w:marLeft w:val="0"/>
      <w:marRight w:val="0"/>
      <w:marTop w:val="0"/>
      <w:marBottom w:val="0"/>
      <w:divBdr>
        <w:top w:val="none" w:sz="0" w:space="0" w:color="auto"/>
        <w:left w:val="none" w:sz="0" w:space="0" w:color="auto"/>
        <w:bottom w:val="none" w:sz="0" w:space="0" w:color="auto"/>
        <w:right w:val="none" w:sz="0" w:space="0" w:color="auto"/>
      </w:divBdr>
    </w:div>
    <w:div w:id="1031227998">
      <w:bodyDiv w:val="1"/>
      <w:marLeft w:val="0"/>
      <w:marRight w:val="0"/>
      <w:marTop w:val="0"/>
      <w:marBottom w:val="0"/>
      <w:divBdr>
        <w:top w:val="none" w:sz="0" w:space="0" w:color="auto"/>
        <w:left w:val="none" w:sz="0" w:space="0" w:color="auto"/>
        <w:bottom w:val="none" w:sz="0" w:space="0" w:color="auto"/>
        <w:right w:val="none" w:sz="0" w:space="0" w:color="auto"/>
      </w:divBdr>
    </w:div>
    <w:div w:id="1165977561">
      <w:bodyDiv w:val="1"/>
      <w:marLeft w:val="0"/>
      <w:marRight w:val="0"/>
      <w:marTop w:val="0"/>
      <w:marBottom w:val="0"/>
      <w:divBdr>
        <w:top w:val="none" w:sz="0" w:space="0" w:color="auto"/>
        <w:left w:val="none" w:sz="0" w:space="0" w:color="auto"/>
        <w:bottom w:val="none" w:sz="0" w:space="0" w:color="auto"/>
        <w:right w:val="none" w:sz="0" w:space="0" w:color="auto"/>
      </w:divBdr>
    </w:div>
    <w:div w:id="1229144939">
      <w:bodyDiv w:val="1"/>
      <w:marLeft w:val="0"/>
      <w:marRight w:val="0"/>
      <w:marTop w:val="0"/>
      <w:marBottom w:val="0"/>
      <w:divBdr>
        <w:top w:val="none" w:sz="0" w:space="0" w:color="auto"/>
        <w:left w:val="none" w:sz="0" w:space="0" w:color="auto"/>
        <w:bottom w:val="none" w:sz="0" w:space="0" w:color="auto"/>
        <w:right w:val="none" w:sz="0" w:space="0" w:color="auto"/>
      </w:divBdr>
    </w:div>
    <w:div w:id="1362706396">
      <w:bodyDiv w:val="1"/>
      <w:marLeft w:val="0"/>
      <w:marRight w:val="0"/>
      <w:marTop w:val="0"/>
      <w:marBottom w:val="0"/>
      <w:divBdr>
        <w:top w:val="none" w:sz="0" w:space="0" w:color="auto"/>
        <w:left w:val="none" w:sz="0" w:space="0" w:color="auto"/>
        <w:bottom w:val="none" w:sz="0" w:space="0" w:color="auto"/>
        <w:right w:val="none" w:sz="0" w:space="0" w:color="auto"/>
      </w:divBdr>
    </w:div>
    <w:div w:id="1403530302">
      <w:bodyDiv w:val="1"/>
      <w:marLeft w:val="0"/>
      <w:marRight w:val="0"/>
      <w:marTop w:val="0"/>
      <w:marBottom w:val="0"/>
      <w:divBdr>
        <w:top w:val="none" w:sz="0" w:space="0" w:color="auto"/>
        <w:left w:val="none" w:sz="0" w:space="0" w:color="auto"/>
        <w:bottom w:val="none" w:sz="0" w:space="0" w:color="auto"/>
        <w:right w:val="none" w:sz="0" w:space="0" w:color="auto"/>
      </w:divBdr>
    </w:div>
    <w:div w:id="1606227687">
      <w:bodyDiv w:val="1"/>
      <w:marLeft w:val="0"/>
      <w:marRight w:val="0"/>
      <w:marTop w:val="0"/>
      <w:marBottom w:val="0"/>
      <w:divBdr>
        <w:top w:val="none" w:sz="0" w:space="0" w:color="auto"/>
        <w:left w:val="none" w:sz="0" w:space="0" w:color="auto"/>
        <w:bottom w:val="none" w:sz="0" w:space="0" w:color="auto"/>
        <w:right w:val="none" w:sz="0" w:space="0" w:color="auto"/>
      </w:divBdr>
    </w:div>
    <w:div w:id="1826781988">
      <w:bodyDiv w:val="1"/>
      <w:marLeft w:val="0"/>
      <w:marRight w:val="0"/>
      <w:marTop w:val="0"/>
      <w:marBottom w:val="0"/>
      <w:divBdr>
        <w:top w:val="none" w:sz="0" w:space="0" w:color="auto"/>
        <w:left w:val="none" w:sz="0" w:space="0" w:color="auto"/>
        <w:bottom w:val="none" w:sz="0" w:space="0" w:color="auto"/>
        <w:right w:val="none" w:sz="0" w:space="0" w:color="auto"/>
      </w:divBdr>
    </w:div>
    <w:div w:id="1982539887">
      <w:bodyDiv w:val="1"/>
      <w:marLeft w:val="0"/>
      <w:marRight w:val="0"/>
      <w:marTop w:val="0"/>
      <w:marBottom w:val="0"/>
      <w:divBdr>
        <w:top w:val="none" w:sz="0" w:space="0" w:color="auto"/>
        <w:left w:val="none" w:sz="0" w:space="0" w:color="auto"/>
        <w:bottom w:val="none" w:sz="0" w:space="0" w:color="auto"/>
        <w:right w:val="none" w:sz="0" w:space="0" w:color="auto"/>
      </w:divBdr>
      <w:divsChild>
        <w:div w:id="1018190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4</Pages>
  <Words>2082</Words>
  <Characters>11457</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MARIA DIAZ RAMIREZ</dc:creator>
  <cp:keywords/>
  <dc:description/>
  <cp:lastModifiedBy>SHEILA MARIA DIAZ RAMIREZ</cp:lastModifiedBy>
  <cp:revision>43</cp:revision>
  <dcterms:created xsi:type="dcterms:W3CDTF">2026-05-06T09:21:00Z</dcterms:created>
  <dcterms:modified xsi:type="dcterms:W3CDTF">2026-05-08T18:48:00Z</dcterms:modified>
</cp:coreProperties>
</file>